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A85" w:rsidRDefault="00C46A85" w:rsidP="00866B8C">
      <w:pPr>
        <w:jc w:val="center"/>
        <w:rPr>
          <w:b/>
          <w:bCs/>
          <w:lang w:val="hu-HU"/>
        </w:rPr>
      </w:pPr>
      <w:r>
        <w:rPr>
          <w:b/>
          <w:bCs/>
          <w:lang w:val="hu-HU"/>
        </w:rPr>
        <w:t>Eötvös Loránd Tudományegyetem, Bölcsészettudományi Kar</w:t>
      </w:r>
    </w:p>
    <w:p w:rsidR="00C46A85" w:rsidRDefault="00C46A85" w:rsidP="00866B8C">
      <w:pPr>
        <w:jc w:val="center"/>
        <w:rPr>
          <w:b/>
          <w:bCs/>
          <w:lang w:val="hu-HU"/>
        </w:rPr>
      </w:pPr>
    </w:p>
    <w:p w:rsidR="00C46A85" w:rsidRPr="0080327C" w:rsidRDefault="00C46A85" w:rsidP="00866B8C">
      <w:pPr>
        <w:jc w:val="center"/>
        <w:rPr>
          <w:bCs/>
          <w:lang w:val="hu-HU"/>
        </w:rPr>
      </w:pPr>
      <w:r w:rsidRPr="0080327C">
        <w:rPr>
          <w:bCs/>
          <w:lang w:val="hu-HU"/>
        </w:rPr>
        <w:t>Dékán: prof. dr. Borhy László</w:t>
      </w:r>
    </w:p>
    <w:p w:rsidR="00C46A85" w:rsidRDefault="00C46A85" w:rsidP="00866B8C">
      <w:pPr>
        <w:jc w:val="center"/>
        <w:rPr>
          <w:b/>
          <w:bCs/>
          <w:lang w:val="hu-HU"/>
        </w:rPr>
      </w:pPr>
    </w:p>
    <w:p w:rsidR="00C46A85" w:rsidRDefault="00C46A85" w:rsidP="00866B8C">
      <w:pPr>
        <w:jc w:val="center"/>
        <w:rPr>
          <w:b/>
          <w:bCs/>
          <w:lang w:val="hu-HU"/>
        </w:rPr>
      </w:pPr>
      <w:r w:rsidRPr="0080327C">
        <w:rPr>
          <w:b/>
          <w:bCs/>
          <w:lang w:val="hu-HU"/>
        </w:rPr>
        <w:t>F</w:t>
      </w:r>
      <w:r>
        <w:rPr>
          <w:b/>
          <w:bCs/>
          <w:lang w:val="hu-HU"/>
        </w:rPr>
        <w:t>ilozófiatudományi</w:t>
      </w:r>
      <w:r w:rsidRPr="0080327C">
        <w:rPr>
          <w:b/>
          <w:bCs/>
          <w:lang w:val="hu-HU"/>
        </w:rPr>
        <w:t xml:space="preserve"> D</w:t>
      </w:r>
      <w:r>
        <w:rPr>
          <w:b/>
          <w:bCs/>
          <w:lang w:val="hu-HU"/>
        </w:rPr>
        <w:t>oktori</w:t>
      </w:r>
      <w:r w:rsidRPr="0080327C">
        <w:rPr>
          <w:b/>
          <w:bCs/>
          <w:lang w:val="hu-HU"/>
        </w:rPr>
        <w:t xml:space="preserve"> I</w:t>
      </w:r>
      <w:r>
        <w:rPr>
          <w:b/>
          <w:bCs/>
          <w:lang w:val="hu-HU"/>
        </w:rPr>
        <w:t>skola</w:t>
      </w:r>
      <w:r w:rsidRPr="0080327C">
        <w:rPr>
          <w:b/>
          <w:bCs/>
          <w:lang w:val="hu-HU"/>
        </w:rPr>
        <w:t xml:space="preserve">  </w:t>
      </w:r>
    </w:p>
    <w:p w:rsidR="00C46A85" w:rsidRDefault="00C46A85" w:rsidP="0080327C">
      <w:pPr>
        <w:jc w:val="center"/>
        <w:rPr>
          <w:b/>
          <w:bCs/>
          <w:lang w:val="hu-HU"/>
        </w:rPr>
      </w:pPr>
    </w:p>
    <w:p w:rsidR="00C46A85" w:rsidRPr="0080327C" w:rsidRDefault="00C46A85" w:rsidP="0080327C">
      <w:pPr>
        <w:jc w:val="center"/>
        <w:rPr>
          <w:bCs/>
          <w:lang w:val="hu-HU"/>
        </w:rPr>
      </w:pPr>
      <w:r w:rsidRPr="0080327C">
        <w:rPr>
          <w:bCs/>
          <w:lang w:val="hu-HU"/>
        </w:rPr>
        <w:t>Iskolavezető: prof. dr. Boros Gábor</w:t>
      </w:r>
    </w:p>
    <w:p w:rsidR="00C46A85" w:rsidRDefault="00C46A85" w:rsidP="00866B8C">
      <w:pPr>
        <w:jc w:val="center"/>
        <w:rPr>
          <w:b/>
          <w:bCs/>
          <w:lang w:val="hu-HU"/>
        </w:rPr>
      </w:pPr>
    </w:p>
    <w:p w:rsidR="00C46A85" w:rsidRPr="00A6250F" w:rsidRDefault="00C46A85" w:rsidP="00866B8C">
      <w:pPr>
        <w:jc w:val="center"/>
        <w:rPr>
          <w:b/>
          <w:bCs/>
          <w:lang w:val="hu-HU"/>
        </w:rPr>
      </w:pPr>
      <w:r w:rsidRPr="00A6250F">
        <w:rPr>
          <w:b/>
          <w:bCs/>
          <w:lang w:val="hu-HU"/>
        </w:rPr>
        <w:t xml:space="preserve">FIL/VT </w:t>
      </w:r>
      <w:r w:rsidRPr="00A6250F">
        <w:rPr>
          <w:rStyle w:val="Strong"/>
          <w:lang w:val="hu-HU"/>
        </w:rPr>
        <w:t xml:space="preserve">– </w:t>
      </w:r>
      <w:r w:rsidRPr="00A6250F">
        <w:rPr>
          <w:b/>
          <w:bCs/>
          <w:lang w:val="hu-HU"/>
        </w:rPr>
        <w:t>Vallástudomány doktori oktatási program</w:t>
      </w:r>
    </w:p>
    <w:p w:rsidR="00C46A85" w:rsidRPr="00A6250F" w:rsidRDefault="00C46A85" w:rsidP="00EE3773">
      <w:pPr>
        <w:jc w:val="both"/>
        <w:rPr>
          <w:b/>
          <w:bCs/>
          <w:lang w:val="hu-HU"/>
        </w:rPr>
      </w:pPr>
    </w:p>
    <w:p w:rsidR="00C46A85" w:rsidRPr="00A6250F" w:rsidRDefault="00C46A85" w:rsidP="00866B8C">
      <w:pPr>
        <w:jc w:val="center"/>
        <w:rPr>
          <w:lang w:val="hu-HU"/>
        </w:rPr>
      </w:pPr>
      <w:r w:rsidRPr="0080327C">
        <w:rPr>
          <w:bCs/>
          <w:lang w:val="hu-HU"/>
        </w:rPr>
        <w:t>Programfelelős:</w:t>
      </w:r>
      <w:r w:rsidRPr="00A6250F">
        <w:rPr>
          <w:b/>
          <w:bCs/>
          <w:lang w:val="hu-HU"/>
        </w:rPr>
        <w:t xml:space="preserve"> </w:t>
      </w:r>
      <w:r w:rsidRPr="00A6250F">
        <w:rPr>
          <w:lang w:val="hu-HU"/>
        </w:rPr>
        <w:t>Dr. Déri Balázs PhD, egyetemi tanár</w:t>
      </w:r>
    </w:p>
    <w:p w:rsidR="00C46A85" w:rsidRPr="00A6250F" w:rsidRDefault="00C46A85" w:rsidP="00EE3773">
      <w:pPr>
        <w:jc w:val="both"/>
        <w:rPr>
          <w:b/>
          <w:bCs/>
          <w:lang w:val="hu-HU"/>
        </w:rPr>
      </w:pPr>
    </w:p>
    <w:p w:rsidR="00C46A85" w:rsidRPr="00A6250F" w:rsidRDefault="00C46A85" w:rsidP="00EE3773">
      <w:pPr>
        <w:rPr>
          <w:bCs/>
          <w:i/>
          <w:lang w:val="hu-HU"/>
        </w:rPr>
      </w:pPr>
    </w:p>
    <w:p w:rsidR="00C46A85" w:rsidRPr="00A6250F" w:rsidRDefault="00C46A85" w:rsidP="0080327C">
      <w:pPr>
        <w:jc w:val="center"/>
        <w:rPr>
          <w:b/>
          <w:bCs/>
          <w:lang w:val="hu-HU"/>
        </w:rPr>
      </w:pPr>
      <w:r w:rsidRPr="00A6250F">
        <w:rPr>
          <w:b/>
          <w:bCs/>
          <w:lang w:val="hu-HU"/>
        </w:rPr>
        <w:t>Tantárgyleírás</w:t>
      </w:r>
    </w:p>
    <w:p w:rsidR="00C46A85" w:rsidRPr="00A6250F" w:rsidRDefault="00C46A85" w:rsidP="00EE3773">
      <w:pPr>
        <w:jc w:val="both"/>
        <w:rPr>
          <w:lang w:val="hu-HU"/>
        </w:rPr>
      </w:pPr>
    </w:p>
    <w:tbl>
      <w:tblPr>
        <w:tblW w:w="8460" w:type="dxa"/>
        <w:tblCellSpacing w:w="15" w:type="dxa"/>
        <w:tblInd w:w="585" w:type="dxa"/>
        <w:tblCellMar>
          <w:top w:w="15" w:type="dxa"/>
          <w:left w:w="15" w:type="dxa"/>
          <w:bottom w:w="15" w:type="dxa"/>
          <w:right w:w="15" w:type="dxa"/>
        </w:tblCellMar>
        <w:tblLook w:val="0000"/>
      </w:tblPr>
      <w:tblGrid>
        <w:gridCol w:w="50"/>
        <w:gridCol w:w="8410"/>
      </w:tblGrid>
      <w:tr w:rsidR="00C46A85" w:rsidRPr="00A6250F" w:rsidTr="00CF19A8">
        <w:trPr>
          <w:tblCellSpacing w:w="15" w:type="dxa"/>
        </w:trPr>
        <w:tc>
          <w:tcPr>
            <w:tcW w:w="8400" w:type="dxa"/>
            <w:gridSpan w:val="2"/>
            <w:vAlign w:val="center"/>
          </w:tcPr>
          <w:p w:rsidR="00C46A85" w:rsidRPr="00A6250F" w:rsidRDefault="00C46A85" w:rsidP="00CF19A8">
            <w:pPr>
              <w:jc w:val="both"/>
              <w:rPr>
                <w:b/>
                <w:bCs/>
              </w:rPr>
            </w:pPr>
            <w:r w:rsidRPr="00A6250F">
              <w:rPr>
                <w:b/>
                <w:bCs/>
              </w:rPr>
              <w:t>Vallásfilozófia 1. (Philosophy of Religion 1.)</w:t>
            </w:r>
          </w:p>
          <w:p w:rsidR="00C46A85" w:rsidRPr="00A6250F" w:rsidRDefault="00C46A85" w:rsidP="00CF19A8">
            <w:pPr>
              <w:jc w:val="both"/>
            </w:pPr>
            <w:r w:rsidRPr="00A6250F">
              <w:t>Felelős: Dr. Borbély Gábor habilitált egyetemi docens (ELTE BTK FI)</w:t>
            </w:r>
          </w:p>
        </w:tc>
      </w:tr>
      <w:tr w:rsidR="00C46A85" w:rsidRPr="00A6250F" w:rsidTr="00CF19A8">
        <w:trPr>
          <w:tblCellSpacing w:w="15" w:type="dxa"/>
        </w:trPr>
        <w:tc>
          <w:tcPr>
            <w:tcW w:w="8400" w:type="dxa"/>
            <w:gridSpan w:val="2"/>
            <w:tcMar>
              <w:top w:w="15" w:type="dxa"/>
              <w:left w:w="240" w:type="dxa"/>
              <w:bottom w:w="15" w:type="dxa"/>
              <w:right w:w="15" w:type="dxa"/>
            </w:tcMar>
            <w:vAlign w:val="center"/>
          </w:tcPr>
          <w:p w:rsidR="00C46A85" w:rsidRPr="00A6250F" w:rsidRDefault="00C46A85" w:rsidP="00016D52">
            <w:pPr>
              <w:jc w:val="both"/>
              <w:rPr>
                <w:lang w:val="hu-HU"/>
              </w:rPr>
            </w:pPr>
            <w:r w:rsidRPr="00A6250F">
              <w:rPr>
                <w:lang w:val="hu-HU"/>
              </w:rPr>
              <w:t xml:space="preserve">10 kredit, gyakorlat, kötelező, nem ismételhető </w:t>
            </w:r>
          </w:p>
          <w:p w:rsidR="00C46A85" w:rsidRPr="00A6250F" w:rsidRDefault="00C46A85" w:rsidP="00016D52">
            <w:pPr>
              <w:jc w:val="both"/>
              <w:rPr>
                <w:lang w:val="hu-HU"/>
              </w:rPr>
            </w:pPr>
          </w:p>
          <w:p w:rsidR="00C46A85" w:rsidRPr="00A6250F" w:rsidRDefault="00C46A85" w:rsidP="00866B8C">
            <w:pPr>
              <w:rPr>
                <w:lang w:val="hu-HU"/>
              </w:rPr>
            </w:pPr>
            <w:r w:rsidRPr="00A6250F">
              <w:rPr>
                <w:lang w:val="hu-HU"/>
              </w:rPr>
              <w:t>A tantárgy első (kötelező) tanegysége elsősorban klasszikus vallásfilozófiai kérdéseket tárgyal, figyelembe véve a kortárs angolszász vallásfilozófia, a kognitív tudomány, valamint a társadalomfilozófia megközelítéseit, be</w:t>
            </w:r>
            <w:r w:rsidRPr="00A6250F">
              <w:rPr>
                <w:lang w:val="hu-HU"/>
              </w:rPr>
              <w:softHyphen/>
              <w:t xml:space="preserve">mutatva és elemezve az egyes problémákkal kapcsolatos eltérő álláspontokat és az ezeket megalapozó argumentációt. A kulcs-témakörök a következők: 1. Teizmus, ateizmus, agnoszticizmus, szkepticizmus, naturalizmus. Mi az alapbeállítottság a természetfölötti ágensek létezésével kapcsolatos vitákban? 2. Értelmesek-e a vallási nyelv kifejezései? Realizmus és antirealizmus a vallásfilozófiában. 3.1. Istenérvek: az ontológiai istenérv és az ellenérvek 3.2. Istenérvek: a kozmológiai istenérvek és cáfolataik. 3.3. Istenérvek: a tervezési érvek és cáfolataik. </w:t>
            </w:r>
            <w:smartTag w:uri="urn:schemas-microsoft-com:office:smarttags" w:element="State">
              <w:smartTag w:uri="urn:schemas-microsoft-com:office:smarttags" w:element="metricconverter">
                <w:smartTagPr>
                  <w:attr w:name="ProductID" w:val="4. A"/>
                </w:smartTagPr>
                <w:r w:rsidRPr="00A6250F">
                  <w:rPr>
                    <w:lang w:val="hu-HU"/>
                  </w:rPr>
                  <w:t>4. A</w:t>
                </w:r>
              </w:smartTag>
            </w:smartTag>
            <w:r w:rsidRPr="00A6250F">
              <w:rPr>
                <w:lang w:val="hu-HU"/>
              </w:rPr>
              <w:t xml:space="preserve"> csodák és a vallási tapasztalat. 5. Hit értelem nélkül. 6 Ellent</w:t>
            </w:r>
            <w:r w:rsidRPr="00A6250F">
              <w:rPr>
                <w:lang w:val="hu-HU"/>
              </w:rPr>
              <w:softHyphen/>
              <w:t xml:space="preserve">mondásos-e a tökéletes lény fogalma? </w:t>
            </w:r>
            <w:smartTag w:uri="urn:schemas-microsoft-com:office:smarttags" w:element="State">
              <w:smartTag w:uri="urn:schemas-microsoft-com:office:smarttags" w:element="metricconverter">
                <w:smartTagPr>
                  <w:attr w:name="ProductID" w:val="7. A"/>
                </w:smartTagPr>
                <w:r w:rsidRPr="00A6250F">
                  <w:rPr>
                    <w:lang w:val="hu-HU"/>
                  </w:rPr>
                  <w:t>7. A</w:t>
                </w:r>
              </w:smartTag>
            </w:smartTag>
            <w:r w:rsidRPr="00A6250F">
              <w:rPr>
                <w:lang w:val="hu-HU"/>
              </w:rPr>
              <w:t xml:space="preserve"> rossz problémája: a morális és természeti rossz létezésén alapuló ateista érv és az erre adott teista válaszok 8. Halálfélelem, egzisztenciális szorongás, vallás. 9.1 Naturalista magyarázatok a vallásra: a vallás evolúciós melléktermék 9.2 Naturalista magyarázatok a vallásra: a vallás a kooperációt költséges jeladással elősegítő adaptáció.</w:t>
            </w:r>
          </w:p>
          <w:p w:rsidR="00C46A85" w:rsidRPr="00A6250F" w:rsidRDefault="00C46A85" w:rsidP="00866B8C">
            <w:pPr>
              <w:rPr>
                <w:lang w:val="hu-HU"/>
              </w:rPr>
            </w:pPr>
          </w:p>
          <w:p w:rsidR="00C46A85" w:rsidRPr="00A6250F" w:rsidRDefault="00C46A85" w:rsidP="007B3277">
            <w:pPr>
              <w:rPr>
                <w:lang w:val="en-GB"/>
              </w:rPr>
            </w:pPr>
            <w:r w:rsidRPr="00A6250F">
              <w:rPr>
                <w:lang w:val="en-GB"/>
              </w:rPr>
              <w:t xml:space="preserve">The first (compulsory) course-unit of the subject focuses on philosophy of religion as a branch of English language analytic philosophy, examining its basic questions from the viewpoint of the history of philosophy as well as epistemological, metaphysical, and theological aspects, with the aim of presenting and analysing the different opinions and the argumentation of each question. Central topics are the following: 1. Theism, atheism, agnosticism, scepticism, naturalism. What is the base opinion regarding the existence of supernatural agents? 2. Do the expressions of a sacred language carry meaning? Realism and anti-Realism in philosophy of religion. 3.1. Arguments for the existence of God: the ontological argument and the arguments against it. 3.2. Arguments for the existence of God: the cosmological arguments and its refutations. 3.3. Arguments for the existence of God: the argument from design and its refutations. 4. Miracles and the religious experience. 5. Faith without meaning. 6. Is the existence of a perfect being contradictory? 7. The </w:t>
            </w:r>
            <w:r w:rsidRPr="00A6250F">
              <w:rPr>
                <w:color w:val="000000"/>
                <w:lang w:val="en-GB"/>
              </w:rPr>
              <w:t>problem of evil:</w:t>
            </w:r>
            <w:r w:rsidRPr="00A6250F">
              <w:rPr>
                <w:lang w:val="en-GB"/>
              </w:rPr>
              <w:t xml:space="preserve"> the atheist argument of m</w:t>
            </w:r>
            <w:r w:rsidRPr="00A6250F">
              <w:rPr>
                <w:color w:val="000000"/>
                <w:lang w:val="en-GB"/>
              </w:rPr>
              <w:t>oral and natural evil, and theist responses. 8. Fear of death, existential angst, religion. 9.1. Naturalist explanations of religion: religion as a side-effect of evolution. 9.2. Naturalist explanations of religion: religion as a form of adaption helped by a cooperative costly signal.</w:t>
            </w:r>
          </w:p>
          <w:p w:rsidR="00C46A85" w:rsidRPr="00A6250F" w:rsidRDefault="00C46A85" w:rsidP="007B3277">
            <w:pPr>
              <w:rPr>
                <w:lang w:val="en-GB"/>
              </w:rPr>
            </w:pPr>
          </w:p>
          <w:p w:rsidR="00C46A85" w:rsidRPr="00A6250F" w:rsidRDefault="00C46A85" w:rsidP="00866B8C">
            <w:pPr>
              <w:rPr>
                <w:lang w:val="hu-HU"/>
              </w:rPr>
            </w:pPr>
            <w:r w:rsidRPr="00A6250F">
              <w:rPr>
                <w:lang w:val="hu-HU"/>
              </w:rPr>
              <w:t>Irodalom:</w:t>
            </w:r>
          </w:p>
          <w:p w:rsidR="00C46A85" w:rsidRPr="00A6250F" w:rsidRDefault="00C46A85" w:rsidP="007B3277">
            <w:pPr>
              <w:rPr>
                <w:lang w:val="en-GB"/>
              </w:rPr>
            </w:pPr>
            <w:r w:rsidRPr="00A6250F">
              <w:rPr>
                <w:lang w:val="en-GB"/>
              </w:rPr>
              <w:t>Compulsory secondary literature:</w:t>
            </w:r>
          </w:p>
          <w:p w:rsidR="00C46A85" w:rsidRPr="00A6250F" w:rsidRDefault="00C46A85" w:rsidP="00866B8C">
            <w:pPr>
              <w:rPr>
                <w:lang w:val="hu-HU"/>
              </w:rPr>
            </w:pPr>
          </w:p>
          <w:p w:rsidR="00C46A85" w:rsidRPr="00A6250F" w:rsidRDefault="00C46A85" w:rsidP="00866B8C">
            <w:pPr>
              <w:numPr>
                <w:ilvl w:val="0"/>
                <w:numId w:val="1"/>
              </w:numPr>
              <w:rPr>
                <w:lang w:val="hu-HU"/>
              </w:rPr>
            </w:pPr>
            <w:r w:rsidRPr="00A6250F">
              <w:rPr>
                <w:lang w:val="hu-HU"/>
              </w:rPr>
              <w:t xml:space="preserve">Adams, M. M. and Adams, R. M. (eds): </w:t>
            </w:r>
            <w:r w:rsidRPr="00A6250F">
              <w:rPr>
                <w:i/>
                <w:lang w:val="hu-HU"/>
              </w:rPr>
              <w:t>The Problem of Evil.</w:t>
            </w:r>
            <w:r w:rsidRPr="00A6250F">
              <w:rPr>
                <w:lang w:val="hu-HU"/>
              </w:rPr>
              <w:t xml:space="preserve"> Oxford University Press, Oxford 1992.</w:t>
            </w:r>
          </w:p>
          <w:p w:rsidR="00C46A85" w:rsidRPr="00A6250F" w:rsidRDefault="00C46A85" w:rsidP="00866B8C">
            <w:pPr>
              <w:numPr>
                <w:ilvl w:val="0"/>
                <w:numId w:val="1"/>
              </w:numPr>
              <w:rPr>
                <w:lang w:val="hu-HU"/>
              </w:rPr>
            </w:pPr>
            <w:r w:rsidRPr="00A6250F">
              <w:rPr>
                <w:lang w:val="hu-HU"/>
              </w:rPr>
              <w:t xml:space="preserve">Aquinói Szent Tamás: „A Summa Theologiae 2. kérdése (Vajon létezik-e Isten?)”, in: Aquinói Szent Tamás, </w:t>
            </w:r>
            <w:r w:rsidRPr="00A6250F">
              <w:rPr>
                <w:i/>
                <w:lang w:val="hu-HU"/>
              </w:rPr>
              <w:t>A létezőről és a lényegről.</w:t>
            </w:r>
            <w:r w:rsidRPr="00A6250F">
              <w:rPr>
                <w:lang w:val="hu-HU"/>
              </w:rPr>
              <w:t xml:space="preserve"> Fordította és kommentálta Klima Gyula. Helikon, Budapest 1990. 111–117. </w:t>
            </w:r>
          </w:p>
          <w:p w:rsidR="00C46A85" w:rsidRPr="00A6250F" w:rsidRDefault="00C46A85" w:rsidP="00866B8C">
            <w:pPr>
              <w:numPr>
                <w:ilvl w:val="0"/>
                <w:numId w:val="1"/>
              </w:numPr>
              <w:rPr>
                <w:lang w:val="hu-HU"/>
              </w:rPr>
            </w:pPr>
            <w:r w:rsidRPr="00A6250F">
              <w:rPr>
                <w:lang w:val="hu-HU"/>
              </w:rPr>
              <w:t xml:space="preserve">Atran, Scott: </w:t>
            </w:r>
            <w:r w:rsidRPr="00A6250F">
              <w:rPr>
                <w:i/>
                <w:lang w:val="hu-HU"/>
              </w:rPr>
              <w:t>In Gods We Trust: The Evolutionary Landscape of Religion</w:t>
            </w:r>
            <w:r w:rsidRPr="00A6250F">
              <w:rPr>
                <w:lang w:val="hu-HU"/>
              </w:rPr>
              <w:t>. Oxford University Press, New York 2002.</w:t>
            </w:r>
          </w:p>
          <w:p w:rsidR="00C46A85" w:rsidRPr="00A6250F" w:rsidRDefault="00C46A85" w:rsidP="00866B8C">
            <w:pPr>
              <w:numPr>
                <w:ilvl w:val="0"/>
                <w:numId w:val="1"/>
              </w:numPr>
              <w:rPr>
                <w:lang w:val="hu-HU"/>
              </w:rPr>
            </w:pPr>
            <w:r w:rsidRPr="00A6250F">
              <w:rPr>
                <w:lang w:val="hu-HU"/>
              </w:rPr>
              <w:t xml:space="preserve">Baggini, Julian: </w:t>
            </w:r>
            <w:r w:rsidRPr="00A6250F">
              <w:rPr>
                <w:i/>
                <w:lang w:val="hu-HU"/>
              </w:rPr>
              <w:t>Atheism, A Very Short Introduction.</w:t>
            </w:r>
            <w:r w:rsidRPr="00A6250F">
              <w:rPr>
                <w:lang w:val="hu-HU"/>
              </w:rPr>
              <w:t xml:space="preserve"> Oxford University Press, Oxford 2003. </w:t>
            </w:r>
          </w:p>
          <w:p w:rsidR="00C46A85" w:rsidRPr="00A6250F" w:rsidRDefault="00C46A85" w:rsidP="00866B8C">
            <w:pPr>
              <w:numPr>
                <w:ilvl w:val="0"/>
                <w:numId w:val="1"/>
              </w:numPr>
              <w:rPr>
                <w:lang w:val="hu-HU"/>
              </w:rPr>
            </w:pPr>
            <w:r w:rsidRPr="00A6250F">
              <w:rPr>
                <w:lang w:val="hu-HU"/>
              </w:rPr>
              <w:t xml:space="preserve">Bering, Jesse: </w:t>
            </w:r>
            <w:r w:rsidRPr="00A6250F">
              <w:rPr>
                <w:i/>
                <w:lang w:val="hu-HU"/>
              </w:rPr>
              <w:t>The belief instinct : the psychology of souls, destiny, and the meaning of life.</w:t>
            </w:r>
            <w:r w:rsidRPr="00A6250F">
              <w:rPr>
                <w:lang w:val="hu-HU"/>
              </w:rPr>
              <w:t xml:space="preserve"> W.W. Norton, New York 2011.</w:t>
            </w:r>
          </w:p>
          <w:p w:rsidR="00C46A85" w:rsidRPr="00A6250F" w:rsidRDefault="00C46A85" w:rsidP="00866B8C">
            <w:pPr>
              <w:numPr>
                <w:ilvl w:val="0"/>
                <w:numId w:val="1"/>
              </w:numPr>
              <w:rPr>
                <w:lang w:val="hu-HU"/>
              </w:rPr>
            </w:pPr>
            <w:r w:rsidRPr="00A6250F">
              <w:rPr>
                <w:lang w:val="hu-HU"/>
              </w:rPr>
              <w:t xml:space="preserve">Boyer, Pascal: </w:t>
            </w:r>
            <w:r w:rsidRPr="00A6250F">
              <w:rPr>
                <w:i/>
                <w:lang w:val="hu-HU"/>
              </w:rPr>
              <w:t>Religion explained: the evolutionary origins of religious thought.</w:t>
            </w:r>
            <w:r w:rsidRPr="00A6250F">
              <w:rPr>
                <w:lang w:val="hu-HU"/>
              </w:rPr>
              <w:t xml:space="preserve"> Basic Books, 2001. </w:t>
            </w:r>
          </w:p>
          <w:p w:rsidR="00C46A85" w:rsidRPr="00A6250F" w:rsidRDefault="00C46A85" w:rsidP="00866B8C">
            <w:pPr>
              <w:numPr>
                <w:ilvl w:val="0"/>
                <w:numId w:val="1"/>
              </w:numPr>
              <w:rPr>
                <w:lang w:val="hu-HU"/>
              </w:rPr>
            </w:pPr>
            <w:r w:rsidRPr="00A6250F">
              <w:rPr>
                <w:lang w:val="hu-HU"/>
              </w:rPr>
              <w:t xml:space="preserve">Canterbury Szent Anzelm: „Proslogion”, in </w:t>
            </w:r>
            <w:r w:rsidRPr="00A6250F">
              <w:rPr>
                <w:i/>
                <w:lang w:val="hu-HU"/>
              </w:rPr>
              <w:t>Canterbury Szent Anzelm, Filozófiai és teológiai művek</w:t>
            </w:r>
            <w:r w:rsidRPr="00A6250F">
              <w:rPr>
                <w:lang w:val="hu-HU"/>
              </w:rPr>
              <w:t xml:space="preserve">, I, Budapest: Osiris, 2001, ford. Dér Katalin; valamint Canterbury Szent Anzelm, „Részletek a Proslogionból és vita Gaunilóval, ford. Horváth Judit”, </w:t>
            </w:r>
            <w:r w:rsidRPr="00A6250F">
              <w:rPr>
                <w:i/>
                <w:lang w:val="hu-HU"/>
              </w:rPr>
              <w:t>Világosság,</w:t>
            </w:r>
            <w:r w:rsidRPr="00A6250F">
              <w:rPr>
                <w:lang w:val="hu-HU"/>
              </w:rPr>
              <w:t xml:space="preserve"> 1983, december, Melléklet.</w:t>
            </w:r>
          </w:p>
          <w:p w:rsidR="00C46A85" w:rsidRPr="00A6250F" w:rsidRDefault="00C46A85" w:rsidP="00866B8C">
            <w:pPr>
              <w:numPr>
                <w:ilvl w:val="0"/>
                <w:numId w:val="1"/>
              </w:numPr>
              <w:rPr>
                <w:lang w:val="hu-HU"/>
              </w:rPr>
            </w:pPr>
            <w:r w:rsidRPr="00A6250F">
              <w:rPr>
                <w:lang w:val="hu-HU"/>
              </w:rPr>
              <w:t xml:space="preserve">Cicero: </w:t>
            </w:r>
            <w:r w:rsidRPr="00A6250F">
              <w:rPr>
                <w:i/>
                <w:lang w:val="hu-HU"/>
              </w:rPr>
              <w:t>Az istenek természete,</w:t>
            </w:r>
            <w:r w:rsidRPr="00A6250F">
              <w:rPr>
                <w:lang w:val="hu-HU"/>
              </w:rPr>
              <w:t xml:space="preserve"> Helikon, Budapest 1985; későbbi kiadás: LAZI, Szeged 2004. </w:t>
            </w:r>
          </w:p>
          <w:p w:rsidR="00C46A85" w:rsidRPr="00A6250F" w:rsidRDefault="00C46A85" w:rsidP="00866B8C">
            <w:pPr>
              <w:numPr>
                <w:ilvl w:val="0"/>
                <w:numId w:val="1"/>
              </w:numPr>
              <w:rPr>
                <w:lang w:val="hu-HU"/>
              </w:rPr>
            </w:pPr>
            <w:r w:rsidRPr="00A6250F">
              <w:rPr>
                <w:lang w:val="hu-HU"/>
              </w:rPr>
              <w:t xml:space="preserve">Davies, B.: </w:t>
            </w:r>
            <w:r w:rsidRPr="00A6250F">
              <w:rPr>
                <w:i/>
                <w:lang w:val="hu-HU"/>
              </w:rPr>
              <w:t>Bevezetés a vallásfilozófiába.</w:t>
            </w:r>
            <w:r w:rsidRPr="00A6250F">
              <w:rPr>
                <w:lang w:val="hu-HU"/>
              </w:rPr>
              <w:t xml:space="preserve"> Ford. Rakovszky Zs. és Vassányi M. A szöveget szakmailag gondozta Mezei Balázs. Kossuth, Budapest 1999. (az angol eredeti: Davies, Brian, </w:t>
            </w:r>
            <w:r w:rsidRPr="00A6250F">
              <w:rPr>
                <w:i/>
                <w:lang w:val="hu-HU"/>
              </w:rPr>
              <w:t>An Introduction to the Philosophy of Religion.</w:t>
            </w:r>
            <w:r w:rsidRPr="00A6250F">
              <w:rPr>
                <w:lang w:val="hu-HU"/>
              </w:rPr>
              <w:t xml:space="preserve"> OPUS, Oxford University Press, Oxford–New York 1993.)</w:t>
            </w:r>
          </w:p>
          <w:p w:rsidR="00C46A85" w:rsidRPr="00A6250F" w:rsidRDefault="00C46A85" w:rsidP="00866B8C">
            <w:pPr>
              <w:numPr>
                <w:ilvl w:val="0"/>
                <w:numId w:val="1"/>
              </w:numPr>
              <w:rPr>
                <w:lang w:val="hu-HU"/>
              </w:rPr>
            </w:pPr>
            <w:r w:rsidRPr="00A6250F">
              <w:rPr>
                <w:lang w:val="hu-HU"/>
              </w:rPr>
              <w:t xml:space="preserve">Dennett, D.: </w:t>
            </w:r>
            <w:r w:rsidRPr="00A6250F">
              <w:rPr>
                <w:i/>
                <w:lang w:val="hu-HU"/>
              </w:rPr>
              <w:t>Darwin veszélyes ideája.</w:t>
            </w:r>
            <w:r w:rsidRPr="00A6250F">
              <w:rPr>
                <w:lang w:val="hu-HU"/>
              </w:rPr>
              <w:t xml:space="preserve"> Typotex, Budapest 1998.</w:t>
            </w:r>
          </w:p>
          <w:p w:rsidR="00C46A85" w:rsidRPr="00A6250F" w:rsidRDefault="00C46A85" w:rsidP="00866B8C">
            <w:pPr>
              <w:numPr>
                <w:ilvl w:val="0"/>
                <w:numId w:val="1"/>
              </w:numPr>
              <w:rPr>
                <w:lang w:val="hu-HU"/>
              </w:rPr>
            </w:pPr>
            <w:r w:rsidRPr="00A6250F">
              <w:rPr>
                <w:lang w:val="hu-HU"/>
              </w:rPr>
              <w:t xml:space="preserve">Dennett, D.: </w:t>
            </w:r>
            <w:r w:rsidRPr="00A6250F">
              <w:rPr>
                <w:i/>
                <w:lang w:val="hu-HU"/>
              </w:rPr>
              <w:t>Breaking the Spell: Religion as a Natural Phenomenon.</w:t>
            </w:r>
            <w:r w:rsidRPr="00A6250F">
              <w:rPr>
                <w:lang w:val="hu-HU"/>
              </w:rPr>
              <w:t xml:space="preserve"> Penguin Books, London 2006.</w:t>
            </w:r>
          </w:p>
          <w:p w:rsidR="00C46A85" w:rsidRPr="00A6250F" w:rsidRDefault="00C46A85" w:rsidP="00866B8C">
            <w:pPr>
              <w:numPr>
                <w:ilvl w:val="0"/>
                <w:numId w:val="1"/>
              </w:numPr>
            </w:pPr>
            <w:r w:rsidRPr="00A6250F">
              <w:t xml:space="preserve">Hoffman, J. and Rosenkrantz, G. S.: </w:t>
            </w:r>
            <w:r w:rsidRPr="00A6250F">
              <w:rPr>
                <w:i/>
              </w:rPr>
              <w:t>The Divine Attributes.</w:t>
            </w:r>
            <w:r w:rsidRPr="00A6250F">
              <w:t xml:space="preserve"> Blackwell, Oxford 2002.</w:t>
            </w:r>
          </w:p>
          <w:p w:rsidR="00C46A85" w:rsidRPr="00A6250F" w:rsidRDefault="00C46A85" w:rsidP="00866B8C">
            <w:pPr>
              <w:numPr>
                <w:ilvl w:val="0"/>
                <w:numId w:val="1"/>
              </w:numPr>
              <w:rPr>
                <w:lang w:val="hu-HU"/>
              </w:rPr>
            </w:pPr>
            <w:r w:rsidRPr="00A6250F">
              <w:rPr>
                <w:lang w:val="hu-HU"/>
              </w:rPr>
              <w:t xml:space="preserve">Hume, David: </w:t>
            </w:r>
            <w:r w:rsidRPr="00A6250F">
              <w:rPr>
                <w:i/>
                <w:lang w:val="hu-HU"/>
              </w:rPr>
              <w:t>Beszélgetések a természetes vallásról.</w:t>
            </w:r>
            <w:r w:rsidRPr="00A6250F">
              <w:rPr>
                <w:lang w:val="hu-HU"/>
              </w:rPr>
              <w:t xml:space="preserve"> Atlantisz, Budapest 2006.</w:t>
            </w:r>
          </w:p>
          <w:p w:rsidR="00C46A85" w:rsidRPr="00A6250F" w:rsidRDefault="00C46A85" w:rsidP="00866B8C">
            <w:pPr>
              <w:numPr>
                <w:ilvl w:val="0"/>
                <w:numId w:val="1"/>
              </w:numPr>
              <w:rPr>
                <w:lang w:val="hu-HU"/>
              </w:rPr>
            </w:pPr>
            <w:r w:rsidRPr="00A6250F">
              <w:rPr>
                <w:lang w:val="hu-HU"/>
              </w:rPr>
              <w:t xml:space="preserve">Jordan, Jeffrey J. (ed): </w:t>
            </w:r>
            <w:r w:rsidRPr="00A6250F">
              <w:rPr>
                <w:i/>
                <w:lang w:val="hu-HU"/>
              </w:rPr>
              <w:t>Philosophy of religion: the key thinkers.</w:t>
            </w:r>
            <w:r w:rsidRPr="00A6250F">
              <w:rPr>
                <w:lang w:val="hu-HU"/>
              </w:rPr>
              <w:t xml:space="preserve"> Continuum, 2011.</w:t>
            </w:r>
          </w:p>
          <w:p w:rsidR="00C46A85" w:rsidRPr="00A6250F" w:rsidRDefault="00C46A85" w:rsidP="00866B8C">
            <w:pPr>
              <w:numPr>
                <w:ilvl w:val="0"/>
                <w:numId w:val="1"/>
              </w:numPr>
              <w:rPr>
                <w:lang w:val="hu-HU"/>
              </w:rPr>
            </w:pPr>
            <w:r w:rsidRPr="00A6250F">
              <w:rPr>
                <w:lang w:val="hu-HU"/>
              </w:rPr>
              <w:t xml:space="preserve">Kenny, Anthony: </w:t>
            </w:r>
            <w:r w:rsidRPr="00A6250F">
              <w:rPr>
                <w:i/>
                <w:lang w:val="hu-HU"/>
              </w:rPr>
              <w:t>The God Of The Philosophers,</w:t>
            </w:r>
            <w:r w:rsidRPr="00A6250F">
              <w:rPr>
                <w:lang w:val="hu-HU"/>
              </w:rPr>
              <w:t xml:space="preserve"> Clarendon Press, Oxford 1979 (Reprinted 2001).</w:t>
            </w:r>
          </w:p>
          <w:p w:rsidR="00C46A85" w:rsidRPr="00A6250F" w:rsidRDefault="00C46A85" w:rsidP="00866B8C">
            <w:pPr>
              <w:numPr>
                <w:ilvl w:val="0"/>
                <w:numId w:val="1"/>
              </w:numPr>
              <w:rPr>
                <w:lang w:val="hu-HU"/>
              </w:rPr>
            </w:pPr>
            <w:r w:rsidRPr="00A6250F">
              <w:rPr>
                <w:lang w:val="hu-HU"/>
              </w:rPr>
              <w:t xml:space="preserve">Le Poidevin, Robin: </w:t>
            </w:r>
            <w:r w:rsidRPr="00A6250F">
              <w:rPr>
                <w:i/>
                <w:lang w:val="hu-HU"/>
              </w:rPr>
              <w:t>Arguing for Atheism: An Introduction to the Philosophy of Religion.</w:t>
            </w:r>
            <w:r w:rsidRPr="00A6250F">
              <w:rPr>
                <w:lang w:val="hu-HU"/>
              </w:rPr>
              <w:t xml:space="preserve"> Routledge, London and New York 1996.</w:t>
            </w:r>
          </w:p>
          <w:p w:rsidR="00C46A85" w:rsidRPr="00A6250F" w:rsidRDefault="00C46A85" w:rsidP="00866B8C">
            <w:pPr>
              <w:numPr>
                <w:ilvl w:val="0"/>
                <w:numId w:val="1"/>
              </w:numPr>
            </w:pPr>
            <w:r w:rsidRPr="00A6250F">
              <w:t>Le Poidevin, R.</w:t>
            </w:r>
            <w:r w:rsidRPr="00A6250F">
              <w:rPr>
                <w:lang w:val="hu-HU"/>
              </w:rPr>
              <w:t>:</w:t>
            </w:r>
            <w:r w:rsidRPr="00A6250F">
              <w:t xml:space="preserve"> </w:t>
            </w:r>
            <w:r w:rsidRPr="00A6250F">
              <w:rPr>
                <w:i/>
              </w:rPr>
              <w:t>Agnosticism: A Very Short Introduction.</w:t>
            </w:r>
            <w:r w:rsidRPr="00A6250F">
              <w:t xml:space="preserve"> OUP, Oxford 2010. </w:t>
            </w:r>
          </w:p>
          <w:p w:rsidR="00C46A85" w:rsidRPr="00A6250F" w:rsidRDefault="00C46A85" w:rsidP="00866B8C">
            <w:pPr>
              <w:numPr>
                <w:ilvl w:val="0"/>
                <w:numId w:val="1"/>
              </w:numPr>
              <w:rPr>
                <w:lang w:val="hu-HU"/>
              </w:rPr>
            </w:pPr>
            <w:r w:rsidRPr="00A6250F">
              <w:rPr>
                <w:lang w:val="hu-HU"/>
              </w:rPr>
              <w:t xml:space="preserve">Mackie, J. L.: </w:t>
            </w:r>
            <w:r w:rsidRPr="00A6250F">
              <w:rPr>
                <w:i/>
                <w:lang w:val="hu-HU"/>
              </w:rPr>
              <w:t>The Miracle of Theism.</w:t>
            </w:r>
            <w:r w:rsidRPr="00A6250F">
              <w:rPr>
                <w:lang w:val="hu-HU"/>
              </w:rPr>
              <w:t xml:space="preserve"> Clarendon Press, Oxford 1982.</w:t>
            </w:r>
          </w:p>
          <w:p w:rsidR="00C46A85" w:rsidRPr="00A6250F" w:rsidRDefault="00C46A85" w:rsidP="00866B8C">
            <w:pPr>
              <w:numPr>
                <w:ilvl w:val="0"/>
                <w:numId w:val="1"/>
              </w:numPr>
              <w:rPr>
                <w:lang w:val="hu-HU"/>
              </w:rPr>
            </w:pPr>
            <w:r w:rsidRPr="00A6250F">
              <w:rPr>
                <w:lang w:val="hu-HU"/>
              </w:rPr>
              <w:t xml:space="preserve">Martin, M.: </w:t>
            </w:r>
            <w:r w:rsidRPr="00A6250F">
              <w:rPr>
                <w:i/>
                <w:lang w:val="hu-HU"/>
              </w:rPr>
              <w:t>Atheism: A philosophical Justification.</w:t>
            </w:r>
            <w:r w:rsidRPr="00A6250F">
              <w:rPr>
                <w:lang w:val="hu-HU"/>
              </w:rPr>
              <w:t xml:space="preserve"> Temple University Press, Philadelphia 1990.</w:t>
            </w:r>
          </w:p>
          <w:p w:rsidR="00C46A85" w:rsidRPr="00A6250F" w:rsidRDefault="00C46A85" w:rsidP="00866B8C">
            <w:pPr>
              <w:numPr>
                <w:ilvl w:val="0"/>
                <w:numId w:val="1"/>
              </w:numPr>
              <w:rPr>
                <w:lang w:val="hu-HU"/>
              </w:rPr>
            </w:pPr>
            <w:r w:rsidRPr="00A6250F">
              <w:rPr>
                <w:lang w:val="hu-HU"/>
              </w:rPr>
              <w:t xml:space="preserve">Martin, M. (ed): </w:t>
            </w:r>
            <w:r w:rsidRPr="00A6250F">
              <w:rPr>
                <w:i/>
                <w:lang w:val="hu-HU"/>
              </w:rPr>
              <w:t>The Cambridge Companion to Atheism.</w:t>
            </w:r>
            <w:r w:rsidRPr="00A6250F">
              <w:rPr>
                <w:lang w:val="hu-HU"/>
              </w:rPr>
              <w:t xml:space="preserve"> Cambridge University Press, Cambridge 2007.</w:t>
            </w:r>
          </w:p>
          <w:p w:rsidR="00C46A85" w:rsidRPr="00A6250F" w:rsidRDefault="00C46A85" w:rsidP="00866B8C">
            <w:pPr>
              <w:numPr>
                <w:ilvl w:val="0"/>
                <w:numId w:val="1"/>
              </w:numPr>
              <w:rPr>
                <w:lang w:val="hu-HU"/>
              </w:rPr>
            </w:pPr>
            <w:r w:rsidRPr="00A6250F">
              <w:rPr>
                <w:lang w:val="hu-HU"/>
              </w:rPr>
              <w:t xml:space="preserve">Peterson, Michael L. and VanArragon, Raymond J. (eds): </w:t>
            </w:r>
            <w:r w:rsidRPr="00A6250F">
              <w:rPr>
                <w:i/>
                <w:lang w:val="hu-HU"/>
              </w:rPr>
              <w:t>Contemporary Debates in Philosophy of Religion.</w:t>
            </w:r>
            <w:r w:rsidRPr="00A6250F">
              <w:rPr>
                <w:lang w:val="hu-HU"/>
              </w:rPr>
              <w:t xml:space="preserve"> Blackwell, Oxford 2004.</w:t>
            </w:r>
          </w:p>
          <w:p w:rsidR="00C46A85" w:rsidRPr="00A6250F" w:rsidRDefault="00C46A85" w:rsidP="00866B8C">
            <w:pPr>
              <w:numPr>
                <w:ilvl w:val="0"/>
                <w:numId w:val="1"/>
              </w:numPr>
              <w:rPr>
                <w:lang w:val="hu-HU"/>
              </w:rPr>
            </w:pPr>
            <w:r w:rsidRPr="00A6250F">
              <w:rPr>
                <w:lang w:val="hu-HU"/>
              </w:rPr>
              <w:t xml:space="preserve">Rowe, W. L.: </w:t>
            </w:r>
            <w:r w:rsidRPr="00A6250F">
              <w:rPr>
                <w:i/>
                <w:lang w:val="hu-HU"/>
              </w:rPr>
              <w:t>Philosophy of Religion: An Introduction.</w:t>
            </w:r>
            <w:r w:rsidRPr="00A6250F">
              <w:rPr>
                <w:lang w:val="hu-HU"/>
              </w:rPr>
              <w:t xml:space="preserve"> Wadsworth 2007.</w:t>
            </w:r>
          </w:p>
          <w:p w:rsidR="00C46A85" w:rsidRPr="00A6250F" w:rsidRDefault="00C46A85" w:rsidP="00866B8C">
            <w:pPr>
              <w:numPr>
                <w:ilvl w:val="0"/>
                <w:numId w:val="1"/>
              </w:numPr>
              <w:rPr>
                <w:lang w:val="hu-HU"/>
              </w:rPr>
            </w:pPr>
            <w:r w:rsidRPr="00A6250F">
              <w:rPr>
                <w:lang w:val="hu-HU"/>
              </w:rPr>
              <w:t xml:space="preserve">Swinburne, R.: </w:t>
            </w:r>
            <w:r w:rsidRPr="00A6250F">
              <w:rPr>
                <w:i/>
                <w:lang w:val="hu-HU"/>
              </w:rPr>
              <w:t>Van Isten</w:t>
            </w:r>
            <w:r w:rsidRPr="00A6250F">
              <w:rPr>
                <w:lang w:val="hu-HU"/>
              </w:rPr>
              <w:t>? Kossuth, Budapest 1998.</w:t>
            </w:r>
          </w:p>
          <w:p w:rsidR="00C46A85" w:rsidRPr="00A6250F" w:rsidRDefault="00C46A85" w:rsidP="00866B8C">
            <w:pPr>
              <w:numPr>
                <w:ilvl w:val="0"/>
                <w:numId w:val="1"/>
              </w:numPr>
              <w:rPr>
                <w:spacing w:val="-4"/>
                <w:lang w:val="hu-HU"/>
              </w:rPr>
            </w:pPr>
            <w:r w:rsidRPr="00A6250F">
              <w:rPr>
                <w:spacing w:val="-4"/>
                <w:lang w:val="hu-HU"/>
              </w:rPr>
              <w:t xml:space="preserve">Swinburne, R.: </w:t>
            </w:r>
            <w:r w:rsidRPr="00A6250F">
              <w:rPr>
                <w:i/>
                <w:spacing w:val="-4"/>
                <w:lang w:val="hu-HU"/>
              </w:rPr>
              <w:t>The Existence of God</w:t>
            </w:r>
            <w:r w:rsidRPr="00A6250F">
              <w:rPr>
                <w:spacing w:val="-4"/>
                <w:lang w:val="hu-HU"/>
              </w:rPr>
              <w:t>, Revised edition. Clarendon Press, Oxford 1991.</w:t>
            </w:r>
          </w:p>
          <w:p w:rsidR="00C46A85" w:rsidRPr="00A6250F" w:rsidRDefault="00C46A85" w:rsidP="00866B8C">
            <w:pPr>
              <w:numPr>
                <w:ilvl w:val="0"/>
                <w:numId w:val="1"/>
              </w:numPr>
              <w:rPr>
                <w:lang w:val="hu-HU"/>
              </w:rPr>
            </w:pPr>
            <w:r w:rsidRPr="00A6250F">
              <w:rPr>
                <w:lang w:val="hu-HU"/>
              </w:rPr>
              <w:t xml:space="preserve">Swinburne, R.: </w:t>
            </w:r>
            <w:r w:rsidRPr="00A6250F">
              <w:rPr>
                <w:i/>
                <w:lang w:val="hu-HU"/>
              </w:rPr>
              <w:t>The Coherence of Theism. Revised Edition</w:t>
            </w:r>
            <w:r w:rsidRPr="00A6250F">
              <w:rPr>
                <w:lang w:val="hu-HU"/>
              </w:rPr>
              <w:t xml:space="preserve"> (Clarendon Library of Logic and Philosophy). Clarendon Press, Oxford 1993.</w:t>
            </w:r>
          </w:p>
          <w:p w:rsidR="00C46A85" w:rsidRPr="00A6250F" w:rsidRDefault="00C46A85" w:rsidP="00866B8C">
            <w:pPr>
              <w:numPr>
                <w:ilvl w:val="0"/>
                <w:numId w:val="1"/>
              </w:numPr>
              <w:rPr>
                <w:lang w:val="hu-HU"/>
              </w:rPr>
            </w:pPr>
            <w:r w:rsidRPr="00A6250F">
              <w:rPr>
                <w:lang w:val="hu-HU"/>
              </w:rPr>
              <w:t xml:space="preserve">Taliaferro, Charles — Draper, Paul — Quinn, Philip L. (eds) : </w:t>
            </w:r>
            <w:r w:rsidRPr="00A6250F">
              <w:rPr>
                <w:i/>
                <w:lang w:val="hu-HU"/>
              </w:rPr>
              <w:t>A Companion to Philosophy of Religion.</w:t>
            </w:r>
            <w:r w:rsidRPr="00A6250F">
              <w:rPr>
                <w:lang w:val="hu-HU"/>
              </w:rPr>
              <w:t xml:space="preserve"> 2nd ed. (Blackwell Companions to Philosophy). Blackwell, Oxford 2010.</w:t>
            </w:r>
          </w:p>
          <w:p w:rsidR="00C46A85" w:rsidRPr="00A6250F" w:rsidRDefault="00C46A85" w:rsidP="00866B8C">
            <w:pPr>
              <w:numPr>
                <w:ilvl w:val="0"/>
                <w:numId w:val="1"/>
              </w:numPr>
              <w:rPr>
                <w:lang w:val="hu-HU"/>
              </w:rPr>
            </w:pPr>
            <w:r w:rsidRPr="00A6250F">
              <w:rPr>
                <w:lang w:val="hu-HU"/>
              </w:rPr>
              <w:t xml:space="preserve">Wainwright, William J. (ed): </w:t>
            </w:r>
            <w:r w:rsidRPr="00A6250F">
              <w:rPr>
                <w:i/>
                <w:lang w:val="hu-HU"/>
              </w:rPr>
              <w:t>The Oxford Handbook of Philosophy of Religion</w:t>
            </w:r>
            <w:r w:rsidRPr="00A6250F">
              <w:rPr>
                <w:lang w:val="hu-HU"/>
              </w:rPr>
              <w:t>, OUP, Oxford 2005.</w:t>
            </w:r>
          </w:p>
          <w:p w:rsidR="00C46A85" w:rsidRPr="00A6250F" w:rsidRDefault="00C46A85" w:rsidP="00016D52">
            <w:pPr>
              <w:jc w:val="both"/>
              <w:rPr>
                <w:lang w:val="hu-HU"/>
              </w:rPr>
            </w:pPr>
          </w:p>
        </w:tc>
      </w:tr>
      <w:tr w:rsidR="00C46A85" w:rsidRPr="00A6250F" w:rsidTr="00CF19A8">
        <w:trPr>
          <w:tblCellSpacing w:w="15" w:type="dxa"/>
        </w:trPr>
        <w:tc>
          <w:tcPr>
            <w:tcW w:w="8400" w:type="dxa"/>
            <w:gridSpan w:val="2"/>
            <w:vAlign w:val="center"/>
          </w:tcPr>
          <w:p w:rsidR="00C46A85" w:rsidRPr="00A6250F" w:rsidRDefault="00C46A85" w:rsidP="00CF19A8">
            <w:pPr>
              <w:jc w:val="both"/>
              <w:rPr>
                <w:b/>
                <w:bCs/>
              </w:rPr>
            </w:pPr>
            <w:r w:rsidRPr="00A6250F">
              <w:rPr>
                <w:b/>
                <w:bCs/>
              </w:rPr>
              <w:t>Vallásfilozófia 2. (Philosophy of Religion 2.)</w:t>
            </w:r>
            <w:bookmarkStart w:id="0" w:name="_GoBack"/>
            <w:bookmarkEnd w:id="0"/>
          </w:p>
          <w:p w:rsidR="00C46A85" w:rsidRPr="00A6250F" w:rsidRDefault="00C46A85" w:rsidP="00CF19A8">
            <w:pPr>
              <w:jc w:val="both"/>
            </w:pPr>
            <w:r w:rsidRPr="00A6250F">
              <w:t>Felelős: Dr. Ullmann Tamás egyetemi tanár (ELTE BTK FI)</w:t>
            </w:r>
          </w:p>
        </w:tc>
      </w:tr>
      <w:tr w:rsidR="00C46A85" w:rsidRPr="00A6250F" w:rsidTr="00CF19A8">
        <w:trPr>
          <w:tblCellSpacing w:w="15" w:type="dxa"/>
        </w:trPr>
        <w:tc>
          <w:tcPr>
            <w:tcW w:w="8400" w:type="dxa"/>
            <w:gridSpan w:val="2"/>
            <w:tcMar>
              <w:top w:w="15" w:type="dxa"/>
              <w:left w:w="240" w:type="dxa"/>
              <w:bottom w:w="15" w:type="dxa"/>
              <w:right w:w="15" w:type="dxa"/>
            </w:tcMar>
            <w:vAlign w:val="center"/>
          </w:tcPr>
          <w:p w:rsidR="00C46A85" w:rsidRPr="00A6250F" w:rsidRDefault="00C46A85" w:rsidP="00CF19A8">
            <w:pPr>
              <w:jc w:val="both"/>
              <w:rPr>
                <w:lang w:val="hu-HU"/>
              </w:rPr>
            </w:pPr>
            <w:r w:rsidRPr="00A6250F">
              <w:rPr>
                <w:lang w:val="hu-HU"/>
              </w:rPr>
              <w:t xml:space="preserve">10 kredit, gyakorlat, kötelező, nem ismételhető </w:t>
            </w:r>
          </w:p>
          <w:p w:rsidR="00C46A85" w:rsidRPr="00A6250F" w:rsidRDefault="00C46A85" w:rsidP="00CF19A8">
            <w:pPr>
              <w:jc w:val="both"/>
              <w:rPr>
                <w:lang w:val="hu-HU"/>
              </w:rPr>
            </w:pPr>
          </w:p>
          <w:p w:rsidR="00C46A85" w:rsidRPr="00A6250F" w:rsidRDefault="00C46A85" w:rsidP="00866B8C">
            <w:pPr>
              <w:rPr>
                <w:lang w:val="hu-HU"/>
              </w:rPr>
            </w:pPr>
            <w:r w:rsidRPr="00A6250F">
              <w:rPr>
                <w:lang w:val="hu-HU"/>
              </w:rPr>
              <w:t>A tanegység célja azoknak a főleg XX. századi filozófiai nézeteknek a bemutatása és kritikai elemzése, amelyek az elmúlt évtizedekben meghatározták a filozófia és a különféle vallásos nézetek viszonyát. Ezek a főleg francia és német nyelvterületen született filozófiai törekvések a következő főbb témák köré csoportosíthatóak: 1) a klasszikus teológia kérdéseinek újragondolása (Isten léte, a lélek természete, szabadság és kegyelem); 2) a vallásos egzisztencia problémái (hit, szorongás, kétségbeesés, üdv); 3) a vallásos tapasztalat fenomenológiája (mit jelent a vallásos élmény, miben tér el a hétköznapi tapasztalatoktól); 4) a szentség és az esztétikum viszonya (a vizuális többlet fogalma: az ikon és a bálvány kérdése). A XX. századi gondolkodásban legmélyrehatóbban talán a fenomenológia és az egzisztencializmus hagyománya szembesült a vallásfilozófia problémáival. A kurzus elsősorban e két irányzat szerzőivel foglalkozik.</w:t>
            </w:r>
          </w:p>
          <w:p w:rsidR="00C46A85" w:rsidRPr="00A6250F" w:rsidRDefault="00C46A85" w:rsidP="00866B8C">
            <w:pPr>
              <w:rPr>
                <w:lang w:val="hu-HU"/>
              </w:rPr>
            </w:pPr>
          </w:p>
          <w:p w:rsidR="00C46A85" w:rsidRPr="00A6250F" w:rsidRDefault="00C46A85" w:rsidP="007B3277">
            <w:pPr>
              <w:rPr>
                <w:lang w:val="en-GB"/>
              </w:rPr>
            </w:pPr>
            <w:r w:rsidRPr="00A6250F">
              <w:rPr>
                <w:lang w:val="en-GB"/>
              </w:rPr>
              <w:t>The aim of the course-unit is to introduce and critically examine those 20</w:t>
            </w:r>
            <w:r w:rsidRPr="00A6250F">
              <w:rPr>
                <w:vertAlign w:val="superscript"/>
                <w:lang w:val="en-GB"/>
              </w:rPr>
              <w:t>th</w:t>
            </w:r>
            <w:r w:rsidRPr="00A6250F">
              <w:rPr>
                <w:lang w:val="en-GB"/>
              </w:rPr>
              <w:t>-century schools of philosophy that have defined the relationship of philosophy and different religious beliefs in the past decades. These philosophical endeavours, chiefly French and German in origin, may be categorised around the following subjects: 1. The re-examination of the questions of classical theology (the existence of God, the nature of the soul, freedom and grace); 2. The problems of a religious existence (faith, anxiety, despair, salvation); 3. The phenomenology of religious experience (the meaning of a religious experience, and how it differs from everyday experiences); 4. The relationship of the holy and aesthetics (the concept of visual surplus: the question of icon and idol). Phenomenology and existentialism were possibly the two schools to face the questions of the philosophy of religion in the greatest depth. The course-unit mainly concentrates on authors of these schools.</w:t>
            </w:r>
          </w:p>
          <w:p w:rsidR="00C46A85" w:rsidRPr="00A6250F" w:rsidRDefault="00C46A85" w:rsidP="007B3277">
            <w:pPr>
              <w:rPr>
                <w:lang w:val="en-GB"/>
              </w:rPr>
            </w:pPr>
          </w:p>
          <w:p w:rsidR="00C46A85" w:rsidRPr="00A6250F" w:rsidRDefault="00C46A85" w:rsidP="007B3277">
            <w:pPr>
              <w:rPr>
                <w:lang w:val="en-GB"/>
              </w:rPr>
            </w:pPr>
            <w:r w:rsidRPr="00A6250F">
              <w:rPr>
                <w:lang w:val="en-GB"/>
              </w:rPr>
              <w:t>Irodalom:</w:t>
            </w:r>
          </w:p>
          <w:p w:rsidR="00C46A85" w:rsidRPr="00A6250F" w:rsidRDefault="00C46A85" w:rsidP="007B3277">
            <w:pPr>
              <w:rPr>
                <w:lang w:val="en-GB"/>
              </w:rPr>
            </w:pPr>
            <w:r w:rsidRPr="00A6250F">
              <w:rPr>
                <w:lang w:val="en-GB"/>
              </w:rPr>
              <w:t>Compulsory secondary literature:</w:t>
            </w:r>
          </w:p>
          <w:p w:rsidR="00C46A85" w:rsidRPr="00A6250F" w:rsidRDefault="00C46A85" w:rsidP="00866B8C">
            <w:pPr>
              <w:pStyle w:val="ListParagraph"/>
              <w:numPr>
                <w:ilvl w:val="0"/>
                <w:numId w:val="2"/>
              </w:numPr>
              <w:rPr>
                <w:lang w:val="fr-FR"/>
              </w:rPr>
            </w:pPr>
            <w:r w:rsidRPr="00A6250F">
              <w:t xml:space="preserve">Kierkegaard, Sören: </w:t>
            </w:r>
            <w:r w:rsidRPr="00A6250F">
              <w:rPr>
                <w:i/>
              </w:rPr>
              <w:t>A szorongás fogalma</w:t>
            </w:r>
            <w:r w:rsidRPr="00A6250F">
              <w:t xml:space="preserve">. </w:t>
            </w:r>
            <w:r w:rsidRPr="00A6250F">
              <w:rPr>
                <w:lang w:val="fr-FR"/>
              </w:rPr>
              <w:t>Ford. Rácz Péter. Göncöl, Budapest 1993.</w:t>
            </w:r>
          </w:p>
          <w:p w:rsidR="00C46A85" w:rsidRPr="00A6250F" w:rsidRDefault="00C46A85" w:rsidP="00866B8C">
            <w:pPr>
              <w:pStyle w:val="ListParagraph"/>
              <w:numPr>
                <w:ilvl w:val="0"/>
                <w:numId w:val="2"/>
              </w:numPr>
              <w:rPr>
                <w:lang w:val="de-DE"/>
              </w:rPr>
            </w:pPr>
            <w:r w:rsidRPr="00A6250F">
              <w:rPr>
                <w:lang w:val="de-DE"/>
              </w:rPr>
              <w:t xml:space="preserve">Heidegger, Martin: </w:t>
            </w:r>
            <w:r w:rsidRPr="00A6250F">
              <w:rPr>
                <w:i/>
                <w:lang w:val="de-DE"/>
              </w:rPr>
              <w:t>Phänomenologie des religiösen Lebens</w:t>
            </w:r>
            <w:r w:rsidRPr="00A6250F">
              <w:rPr>
                <w:lang w:val="de-DE"/>
              </w:rPr>
              <w:t xml:space="preserve"> (GA 60). Klostermann, Frankfurt a. M. 1995.</w:t>
            </w:r>
          </w:p>
          <w:p w:rsidR="00C46A85" w:rsidRPr="00A6250F" w:rsidRDefault="00C46A85" w:rsidP="00866B8C">
            <w:pPr>
              <w:pStyle w:val="ListParagraph"/>
              <w:numPr>
                <w:ilvl w:val="0"/>
                <w:numId w:val="2"/>
              </w:numPr>
              <w:rPr>
                <w:lang w:val="de-DE"/>
              </w:rPr>
            </w:pPr>
            <w:r w:rsidRPr="00A6250F">
              <w:t xml:space="preserve">Otto, Rudolf: </w:t>
            </w:r>
            <w:r w:rsidRPr="00A6250F">
              <w:rPr>
                <w:i/>
              </w:rPr>
              <w:t>A szent.</w:t>
            </w:r>
            <w:r w:rsidRPr="00A6250F">
              <w:t xml:space="preserve"> Ford. </w:t>
            </w:r>
            <w:r w:rsidRPr="00A6250F">
              <w:rPr>
                <w:lang w:val="de-DE"/>
              </w:rPr>
              <w:t>Bendl Júlia. Osiris, Budapest 2001.</w:t>
            </w:r>
          </w:p>
          <w:p w:rsidR="00C46A85" w:rsidRPr="00A6250F" w:rsidRDefault="00C46A85" w:rsidP="00866B8C">
            <w:pPr>
              <w:pStyle w:val="ListParagraph"/>
              <w:numPr>
                <w:ilvl w:val="0"/>
                <w:numId w:val="2"/>
              </w:numPr>
              <w:rPr>
                <w:lang w:val="de-DE"/>
              </w:rPr>
            </w:pPr>
            <w:r w:rsidRPr="00A6250F">
              <w:rPr>
                <w:lang w:val="de-DE"/>
              </w:rPr>
              <w:t xml:space="preserve">Stein, Edith: </w:t>
            </w:r>
            <w:r w:rsidRPr="00A6250F">
              <w:rPr>
                <w:i/>
                <w:lang w:val="de-DE"/>
              </w:rPr>
              <w:t>Endliches und ewiges Sein</w:t>
            </w:r>
            <w:r w:rsidRPr="00A6250F">
              <w:rPr>
                <w:lang w:val="de-DE"/>
              </w:rPr>
              <w:t xml:space="preserve">. (Edith Steins Werke II.) 1950. </w:t>
            </w:r>
          </w:p>
          <w:p w:rsidR="00C46A85" w:rsidRPr="00A6250F" w:rsidRDefault="00C46A85" w:rsidP="00866B8C">
            <w:pPr>
              <w:pStyle w:val="ListParagraph"/>
              <w:numPr>
                <w:ilvl w:val="0"/>
                <w:numId w:val="2"/>
              </w:numPr>
              <w:rPr>
                <w:lang w:val="fr-FR"/>
              </w:rPr>
            </w:pPr>
            <w:r w:rsidRPr="00A6250F">
              <w:rPr>
                <w:lang w:val="es-ES"/>
              </w:rPr>
              <w:t xml:space="preserve">van der Leeuw, Gerardus: </w:t>
            </w:r>
            <w:r w:rsidRPr="00A6250F">
              <w:rPr>
                <w:i/>
                <w:lang w:val="es-ES"/>
              </w:rPr>
              <w:t>A vallás fenomenológiája.</w:t>
            </w:r>
            <w:r w:rsidRPr="00A6250F">
              <w:rPr>
                <w:lang w:val="es-ES"/>
              </w:rPr>
              <w:t xml:space="preserve"> </w:t>
            </w:r>
            <w:r w:rsidRPr="00A6250F">
              <w:rPr>
                <w:lang w:val="fr-FR"/>
              </w:rPr>
              <w:t>Ford. Bendl Júlia. Osiris, Budapest 2001.</w:t>
            </w:r>
          </w:p>
          <w:p w:rsidR="00C46A85" w:rsidRPr="00A6250F" w:rsidRDefault="00C46A85" w:rsidP="00866B8C">
            <w:pPr>
              <w:pStyle w:val="ListParagraph"/>
              <w:numPr>
                <w:ilvl w:val="0"/>
                <w:numId w:val="2"/>
              </w:numPr>
              <w:rPr>
                <w:lang w:val="fr-FR"/>
              </w:rPr>
            </w:pPr>
            <w:r w:rsidRPr="00A6250F">
              <w:rPr>
                <w:lang w:val="fr-FR"/>
              </w:rPr>
              <w:t xml:space="preserve">Janicaud, Dominique: </w:t>
            </w:r>
            <w:r w:rsidRPr="00A6250F">
              <w:rPr>
                <w:i/>
                <w:iCs/>
                <w:lang w:val="fr-FR"/>
              </w:rPr>
              <w:t>Le tournant théologique de la phénoménologie française</w:t>
            </w:r>
            <w:r w:rsidRPr="00A6250F">
              <w:rPr>
                <w:lang w:val="fr-FR"/>
              </w:rPr>
              <w:t>. Combas, L’éclat 1991.</w:t>
            </w:r>
          </w:p>
          <w:p w:rsidR="00C46A85" w:rsidRPr="00A6250F" w:rsidRDefault="00C46A85" w:rsidP="00866B8C">
            <w:pPr>
              <w:pStyle w:val="ListParagraph"/>
              <w:numPr>
                <w:ilvl w:val="0"/>
                <w:numId w:val="2"/>
              </w:numPr>
              <w:rPr>
                <w:lang w:val="fr-FR"/>
              </w:rPr>
            </w:pPr>
            <w:r w:rsidRPr="00A6250F">
              <w:rPr>
                <w:lang w:val="de-DE"/>
              </w:rPr>
              <w:t xml:space="preserve">Mezei Balázs: </w:t>
            </w:r>
            <w:r w:rsidRPr="00A6250F">
              <w:rPr>
                <w:i/>
                <w:lang w:val="de-DE"/>
              </w:rPr>
              <w:t>A zárójelbe tett Isten</w:t>
            </w:r>
            <w:r w:rsidRPr="00A6250F">
              <w:rPr>
                <w:lang w:val="de-DE"/>
              </w:rPr>
              <w:t xml:space="preserve">. </w:t>
            </w:r>
            <w:r w:rsidRPr="00A6250F">
              <w:rPr>
                <w:lang w:val="fr-FR"/>
              </w:rPr>
              <w:t>Osiris, Budapest 1997.</w:t>
            </w:r>
          </w:p>
          <w:p w:rsidR="00C46A85" w:rsidRPr="00A6250F" w:rsidRDefault="00C46A85" w:rsidP="00866B8C">
            <w:pPr>
              <w:pStyle w:val="ListParagraph"/>
              <w:numPr>
                <w:ilvl w:val="0"/>
                <w:numId w:val="2"/>
              </w:numPr>
              <w:rPr>
                <w:lang w:val="fr-FR"/>
              </w:rPr>
            </w:pPr>
            <w:r w:rsidRPr="00A6250F">
              <w:rPr>
                <w:lang w:val="fr-FR"/>
              </w:rPr>
              <w:t xml:space="preserve">Lévinas, Emmanuel: </w:t>
            </w:r>
            <w:r w:rsidRPr="00A6250F">
              <w:rPr>
                <w:i/>
                <w:lang w:val="fr-FR"/>
              </w:rPr>
              <w:t>Teljesség és végtelen</w:t>
            </w:r>
            <w:r w:rsidRPr="00A6250F">
              <w:rPr>
                <w:lang w:val="fr-FR"/>
              </w:rPr>
              <w:t xml:space="preserve">. Ford. Tarnay László. Jelenkor, Pécs 1999. </w:t>
            </w:r>
          </w:p>
          <w:p w:rsidR="00C46A85" w:rsidRPr="00A6250F" w:rsidRDefault="00C46A85" w:rsidP="00866B8C">
            <w:pPr>
              <w:pStyle w:val="ListParagraph"/>
              <w:numPr>
                <w:ilvl w:val="0"/>
                <w:numId w:val="2"/>
              </w:numPr>
              <w:rPr>
                <w:lang w:val="fr-FR"/>
              </w:rPr>
            </w:pPr>
            <w:r w:rsidRPr="00A6250F">
              <w:rPr>
                <w:lang w:val="fr-FR"/>
              </w:rPr>
              <w:t xml:space="preserve">Lévinas, Emmanuel: </w:t>
            </w:r>
            <w:r w:rsidRPr="00A6250F">
              <w:rPr>
                <w:i/>
                <w:lang w:val="fr-FR"/>
              </w:rPr>
              <w:t>De Dieu qui vient à l’idée</w:t>
            </w:r>
            <w:r w:rsidRPr="00A6250F">
              <w:rPr>
                <w:lang w:val="fr-FR"/>
              </w:rPr>
              <w:t>. Vrin, Paris 1982.</w:t>
            </w:r>
          </w:p>
          <w:p w:rsidR="00C46A85" w:rsidRPr="00A6250F" w:rsidRDefault="00C46A85" w:rsidP="00866B8C">
            <w:pPr>
              <w:pStyle w:val="ListParagraph"/>
              <w:numPr>
                <w:ilvl w:val="0"/>
                <w:numId w:val="2"/>
              </w:numPr>
              <w:rPr>
                <w:lang w:val="fr-FR"/>
              </w:rPr>
            </w:pPr>
            <w:r w:rsidRPr="00A6250F">
              <w:rPr>
                <w:lang w:val="fr-FR"/>
              </w:rPr>
              <w:t xml:space="preserve">Ricoeur, Paul: </w:t>
            </w:r>
            <w:r w:rsidRPr="00A6250F">
              <w:rPr>
                <w:i/>
                <w:iCs/>
                <w:lang w:val="fr-FR"/>
              </w:rPr>
              <w:t>Philosophie de la volonté</w:t>
            </w:r>
            <w:r w:rsidRPr="00A6250F">
              <w:rPr>
                <w:lang w:val="fr-FR"/>
              </w:rPr>
              <w:t xml:space="preserve"> </w:t>
            </w:r>
            <w:r w:rsidRPr="00A6250F">
              <w:rPr>
                <w:i/>
                <w:lang w:val="fr-FR"/>
              </w:rPr>
              <w:t>II.</w:t>
            </w:r>
            <w:r w:rsidRPr="00A6250F">
              <w:rPr>
                <w:i/>
                <w:iCs/>
                <w:lang w:val="fr-FR"/>
              </w:rPr>
              <w:t xml:space="preserve"> Finitude et culpabilité. Tome I. L’homme fallible</w:t>
            </w:r>
            <w:r w:rsidRPr="00A6250F">
              <w:rPr>
                <w:lang w:val="fr-FR"/>
              </w:rPr>
              <w:t xml:space="preserve">. Tome II. </w:t>
            </w:r>
            <w:r w:rsidRPr="00A6250F">
              <w:rPr>
                <w:i/>
                <w:iCs/>
                <w:lang w:val="fr-FR"/>
              </w:rPr>
              <w:t xml:space="preserve">La symbolique du mal. </w:t>
            </w:r>
            <w:r w:rsidRPr="00A6250F">
              <w:rPr>
                <w:iCs/>
                <w:lang w:val="fr-FR"/>
              </w:rPr>
              <w:t>Aubier, Paris 1960.</w:t>
            </w:r>
          </w:p>
          <w:p w:rsidR="00C46A85" w:rsidRPr="00A6250F" w:rsidRDefault="00C46A85" w:rsidP="00866B8C">
            <w:pPr>
              <w:pStyle w:val="ListParagraph"/>
              <w:numPr>
                <w:ilvl w:val="0"/>
                <w:numId w:val="2"/>
              </w:numPr>
              <w:rPr>
                <w:lang w:val="fr-FR"/>
              </w:rPr>
            </w:pPr>
            <w:r w:rsidRPr="00A6250F">
              <w:rPr>
                <w:lang w:val="fr-FR"/>
              </w:rPr>
              <w:t xml:space="preserve">Marion, Jean-Luc: </w:t>
            </w:r>
            <w:r w:rsidRPr="00A6250F">
              <w:rPr>
                <w:i/>
                <w:lang w:val="fr-FR"/>
              </w:rPr>
              <w:t>L’idole et la distance</w:t>
            </w:r>
            <w:r w:rsidRPr="00A6250F">
              <w:rPr>
                <w:lang w:val="fr-FR"/>
              </w:rPr>
              <w:t>. Grasset, Paris 1977.</w:t>
            </w:r>
          </w:p>
          <w:p w:rsidR="00C46A85" w:rsidRPr="00A6250F" w:rsidRDefault="00C46A85" w:rsidP="00866B8C">
            <w:pPr>
              <w:pStyle w:val="ListParagraph"/>
              <w:numPr>
                <w:ilvl w:val="0"/>
                <w:numId w:val="2"/>
              </w:numPr>
            </w:pPr>
            <w:r w:rsidRPr="00A6250F">
              <w:rPr>
                <w:lang w:val="fr-FR"/>
              </w:rPr>
              <w:t xml:space="preserve">Marion, Jean-Luc: </w:t>
            </w:r>
            <w:r w:rsidRPr="00A6250F">
              <w:rPr>
                <w:i/>
                <w:lang w:val="fr-FR"/>
              </w:rPr>
              <w:t>Dieu sans l’être</w:t>
            </w:r>
            <w:r w:rsidRPr="00A6250F">
              <w:rPr>
                <w:lang w:val="fr-FR"/>
              </w:rPr>
              <w:t xml:space="preserve">. </w:t>
            </w:r>
            <w:r w:rsidRPr="00A6250F">
              <w:t>Fayard, Paris 1982.</w:t>
            </w:r>
          </w:p>
          <w:p w:rsidR="00C46A85" w:rsidRPr="00A6250F" w:rsidRDefault="00C46A85" w:rsidP="00866B8C">
            <w:pPr>
              <w:pStyle w:val="ListParagraph"/>
              <w:numPr>
                <w:ilvl w:val="0"/>
                <w:numId w:val="2"/>
              </w:numPr>
            </w:pPr>
            <w:r w:rsidRPr="00A6250F">
              <w:rPr>
                <w:spacing w:val="-4"/>
              </w:rPr>
              <w:t xml:space="preserve">Henry, Michel: </w:t>
            </w:r>
            <w:r w:rsidRPr="00A6250F">
              <w:rPr>
                <w:i/>
                <w:spacing w:val="-4"/>
              </w:rPr>
              <w:t>Az élő test</w:t>
            </w:r>
            <w:r w:rsidRPr="00A6250F">
              <w:rPr>
                <w:spacing w:val="-4"/>
              </w:rPr>
              <w:t>. Ford. Farkas Henrik et alii. Pannonhalma, Bencés kiadó, 2013</w:t>
            </w:r>
            <w:r w:rsidRPr="00A6250F">
              <w:t>.</w:t>
            </w:r>
          </w:p>
          <w:p w:rsidR="00C46A85" w:rsidRPr="00A6250F" w:rsidRDefault="00C46A85" w:rsidP="00866B8C">
            <w:pPr>
              <w:pStyle w:val="ListParagraph"/>
              <w:numPr>
                <w:ilvl w:val="0"/>
                <w:numId w:val="2"/>
              </w:numPr>
            </w:pPr>
            <w:r w:rsidRPr="00A6250F">
              <w:rPr>
                <w:lang w:val="fr-FR"/>
              </w:rPr>
              <w:t xml:space="preserve">Henry, Michel: </w:t>
            </w:r>
            <w:r w:rsidRPr="00A6250F">
              <w:rPr>
                <w:i/>
                <w:lang w:val="fr-FR"/>
              </w:rPr>
              <w:t>C’est moi la vérité. Pour une philosophie du christianisme</w:t>
            </w:r>
            <w:r w:rsidRPr="00A6250F">
              <w:rPr>
                <w:lang w:val="fr-FR"/>
              </w:rPr>
              <w:t xml:space="preserve">. </w:t>
            </w:r>
            <w:r w:rsidRPr="00A6250F">
              <w:t>Seuil, Paris 1996.</w:t>
            </w:r>
          </w:p>
          <w:p w:rsidR="00C46A85" w:rsidRPr="00A6250F" w:rsidRDefault="00C46A85" w:rsidP="00CF19A8">
            <w:pPr>
              <w:jc w:val="both"/>
              <w:rPr>
                <w:lang w:val="hu-HU"/>
              </w:rPr>
            </w:pPr>
          </w:p>
          <w:p w:rsidR="00C46A85" w:rsidRPr="00A6250F" w:rsidRDefault="00C46A85" w:rsidP="00CF19A8">
            <w:pPr>
              <w:jc w:val="both"/>
              <w:rPr>
                <w:lang w:val="hu-HU"/>
              </w:rPr>
            </w:pPr>
          </w:p>
        </w:tc>
      </w:tr>
      <w:tr w:rsidR="00C46A85" w:rsidRPr="00A6250F" w:rsidTr="00CF19A8">
        <w:trPr>
          <w:tblCellSpacing w:w="15" w:type="dxa"/>
        </w:trPr>
        <w:tc>
          <w:tcPr>
            <w:tcW w:w="8400" w:type="dxa"/>
            <w:gridSpan w:val="2"/>
            <w:vAlign w:val="center"/>
          </w:tcPr>
          <w:p w:rsidR="00C46A85" w:rsidRPr="00A6250F" w:rsidRDefault="00C46A85" w:rsidP="00866B8C">
            <w:pPr>
              <w:rPr>
                <w:b/>
                <w:bCs/>
              </w:rPr>
            </w:pPr>
            <w:r w:rsidRPr="00A6250F">
              <w:rPr>
                <w:b/>
                <w:bCs/>
              </w:rPr>
              <w:t>Vallásfilozófia 3. (Philosophy of Religion 3.)</w:t>
            </w:r>
          </w:p>
          <w:p w:rsidR="00C46A85" w:rsidRPr="00A6250F" w:rsidRDefault="00C46A85" w:rsidP="00866B8C">
            <w:pPr>
              <w:jc w:val="both"/>
              <w:rPr>
                <w:b/>
                <w:bCs/>
                <w:lang w:val="hu-HU"/>
              </w:rPr>
            </w:pPr>
            <w:r w:rsidRPr="00A6250F">
              <w:t>Felelős: Dr. Boros Gábor egyetemi tanár (ELTE BTK FI)</w:t>
            </w:r>
          </w:p>
        </w:tc>
      </w:tr>
      <w:tr w:rsidR="00C46A85" w:rsidRPr="00A6250F" w:rsidTr="00CF19A8">
        <w:trPr>
          <w:tblCellSpacing w:w="15" w:type="dxa"/>
        </w:trPr>
        <w:tc>
          <w:tcPr>
            <w:tcW w:w="8400" w:type="dxa"/>
            <w:gridSpan w:val="2"/>
            <w:tcMar>
              <w:top w:w="15" w:type="dxa"/>
              <w:left w:w="240" w:type="dxa"/>
              <w:bottom w:w="15" w:type="dxa"/>
              <w:right w:w="15" w:type="dxa"/>
            </w:tcMar>
            <w:vAlign w:val="center"/>
          </w:tcPr>
          <w:p w:rsidR="00C46A85" w:rsidRPr="00A6250F" w:rsidRDefault="00C46A85" w:rsidP="00CF19A8">
            <w:pPr>
              <w:jc w:val="both"/>
              <w:rPr>
                <w:lang w:val="hu-HU"/>
              </w:rPr>
            </w:pPr>
            <w:r w:rsidRPr="00A6250F">
              <w:rPr>
                <w:lang w:val="hu-HU"/>
              </w:rPr>
              <w:t>10 kredit, gyakorlat, kötelező, nem ismételhető</w:t>
            </w:r>
          </w:p>
          <w:p w:rsidR="00C46A85" w:rsidRPr="00A6250F" w:rsidRDefault="00C46A85" w:rsidP="00CF19A8">
            <w:pPr>
              <w:jc w:val="both"/>
              <w:rPr>
                <w:lang w:val="hu-HU"/>
              </w:rPr>
            </w:pPr>
          </w:p>
          <w:p w:rsidR="00C46A85" w:rsidRPr="00A6250F" w:rsidRDefault="00C46A85" w:rsidP="00866B8C">
            <w:pPr>
              <w:rPr>
                <w:lang w:val="hu-HU"/>
              </w:rPr>
            </w:pPr>
            <w:r w:rsidRPr="00A6250F">
              <w:rPr>
                <w:lang w:val="hu-HU"/>
              </w:rPr>
              <w:t>A  tantárgy harmadik (választható) tanegysége teljesíthető a Filozófiai Doktoriskola más programjainak vallásfilozófiai jellegű kurzusaiból (pl. Vallás, filozófia és irodalom az antikvitásban, Racionális teológia a középkorban – istenérvek, szövegolvasás, Isteni előretudás, jövőbeli kontingens dolgok és emberi szabadság – szövegolvasás, Korai buddhizmus, stb.), illetve a hallgatók témáinak megfelelő igény és lehetőség szerint további kurzusokból (különös tekintettel a zsidó és a muszlim vallásfilozófiára és az európai újkor–legújabb kor egyes kiemelkedő vallásfilozófiai életműveire, irányzataira).</w:t>
            </w:r>
          </w:p>
          <w:p w:rsidR="00C46A85" w:rsidRPr="00A6250F" w:rsidRDefault="00C46A85" w:rsidP="00866B8C">
            <w:pPr>
              <w:rPr>
                <w:lang w:val="hu-HU"/>
              </w:rPr>
            </w:pPr>
          </w:p>
          <w:p w:rsidR="00C46A85" w:rsidRPr="00A6250F" w:rsidRDefault="00C46A85" w:rsidP="00866B8C">
            <w:pPr>
              <w:rPr>
                <w:lang w:val="hu-HU"/>
              </w:rPr>
            </w:pPr>
            <w:r w:rsidRPr="00A6250F">
              <w:rPr>
                <w:lang w:val="hu-HU"/>
              </w:rPr>
              <w:t>Mintaként egy lehetséges „Brit moralisták vallásfilozófiája” kurzus leírása:</w:t>
            </w:r>
          </w:p>
          <w:p w:rsidR="00C46A85" w:rsidRPr="00A6250F" w:rsidRDefault="00C46A85" w:rsidP="00866B8C">
            <w:pPr>
              <w:rPr>
                <w:lang w:val="hu-HU"/>
              </w:rPr>
            </w:pPr>
          </w:p>
          <w:p w:rsidR="00C46A85" w:rsidRPr="00A6250F" w:rsidRDefault="00C46A85" w:rsidP="00866B8C">
            <w:r w:rsidRPr="00A6250F">
              <w:t xml:space="preserve">A kurzus azt a David Hume </w:t>
            </w:r>
            <w:r w:rsidRPr="00A6250F">
              <w:rPr>
                <w:i/>
              </w:rPr>
              <w:t>Dialógus</w:t>
            </w:r>
            <w:r w:rsidRPr="00A6250F">
              <w:t xml:space="preserve">ához és </w:t>
            </w:r>
            <w:r w:rsidRPr="00A6250F">
              <w:rPr>
                <w:i/>
              </w:rPr>
              <w:t>The Natural History of Religion</w:t>
            </w:r>
            <w:r w:rsidRPr="00A6250F">
              <w:t xml:space="preserve"> (A vallás természetes története) c. művéhez vezető vitát követi nyomon, melynek eredményeképpen megrendült a természetes teológiát mint érvényes ismereti módot övező konszenzus: az az általános vélekedés, hogy a vallás végső alaptétele, egy mindenható, mindentudó, a világot kormányzó és teremtő, jóságos és gondviselő Isten létezése bizonyítható, vagy legalábbis az ésszerűség határáig valószínűsíthető.</w:t>
            </w:r>
          </w:p>
          <w:p w:rsidR="00C46A85" w:rsidRPr="00A6250F" w:rsidRDefault="00C46A85" w:rsidP="00866B8C"/>
          <w:p w:rsidR="00C46A85" w:rsidRPr="00A6250F" w:rsidRDefault="00C46A85" w:rsidP="00866B8C">
            <w:r w:rsidRPr="00A6250F">
              <w:t>A kurzus során Cudworth, Locke, Samuel Clarke, Berkeley, Hutcheson és Butler kulcsfontosságú műveit elemzik, és ezekben követik végig a legfontosabb korabeli megfontolásokat: a tervezettség érvét, a rossz létezésének problémáját, az analogikus következtetések jogosultságának megalapozottságát és korlátait, és azt, hogy milyen természetfeletti értelmes lény(ek) létezését lehet ezen érvek segítségével megalapozni.</w:t>
            </w:r>
          </w:p>
          <w:p w:rsidR="00C46A85" w:rsidRPr="00A6250F" w:rsidRDefault="00C46A85" w:rsidP="00866B8C"/>
          <w:p w:rsidR="00C46A85" w:rsidRPr="00A6250F" w:rsidRDefault="00C46A85" w:rsidP="007B3277">
            <w:pPr>
              <w:rPr>
                <w:lang w:val="en-GB"/>
              </w:rPr>
            </w:pPr>
            <w:r w:rsidRPr="00A6250F">
              <w:rPr>
                <w:lang w:val="en-GB"/>
              </w:rPr>
              <w:t>The third (optional) course-unit of the subject may be completed through any course-unit of the Doctoral School of Philosophy that is connected to the philosophy of religion (e.g. Religion, philosophy and literature in the Antiquity,– Rational theology in the Middle Ages – arguments for the existence of God – reading of primary texts, Divine Foreknowledge, future contingent things and human freedom – reading of primary texts, Early Buddhism etc.), or if need be, and circumstances allow, a special course-unit designed as per the needs of the topic of the thesis to be written by the student (with special emphasis on Jewish and Muslim philosophy of religion, and the oeuvre of influential European thinkers of the modern age connected to the philosophy of religion and its defining schools).</w:t>
            </w:r>
          </w:p>
          <w:p w:rsidR="00C46A85" w:rsidRPr="00A6250F" w:rsidRDefault="00C46A85" w:rsidP="007B3277">
            <w:pPr>
              <w:rPr>
                <w:lang w:val="en-GB"/>
              </w:rPr>
            </w:pPr>
          </w:p>
          <w:p w:rsidR="00C46A85" w:rsidRPr="00A6250F" w:rsidRDefault="00C46A85" w:rsidP="007B3277">
            <w:pPr>
              <w:rPr>
                <w:lang w:val="en-GB"/>
              </w:rPr>
            </w:pPr>
            <w:r w:rsidRPr="00A6250F">
              <w:rPr>
                <w:lang w:val="en-GB"/>
              </w:rPr>
              <w:t xml:space="preserve">For example, the course description of a possible ‘Philosophy of religion in the works of British Moralists’ course-unit: </w:t>
            </w:r>
          </w:p>
          <w:p w:rsidR="00C46A85" w:rsidRPr="00A6250F" w:rsidRDefault="00C46A85" w:rsidP="007B3277">
            <w:pPr>
              <w:rPr>
                <w:lang w:val="en-GB"/>
              </w:rPr>
            </w:pPr>
          </w:p>
          <w:p w:rsidR="00C46A85" w:rsidRPr="00A6250F" w:rsidRDefault="00C46A85" w:rsidP="007B3277">
            <w:pPr>
              <w:rPr>
                <w:lang w:val="en-GB"/>
              </w:rPr>
            </w:pPr>
            <w:r w:rsidRPr="00A6250F">
              <w:rPr>
                <w:lang w:val="en-GB"/>
              </w:rPr>
              <w:t xml:space="preserve">The course-unit follows the argumentation leading to the </w:t>
            </w:r>
            <w:r w:rsidRPr="00A6250F">
              <w:rPr>
                <w:i/>
                <w:lang w:val="en-GB"/>
              </w:rPr>
              <w:t>Dialogues</w:t>
            </w:r>
            <w:r w:rsidRPr="00A6250F">
              <w:rPr>
                <w:lang w:val="en-GB"/>
              </w:rPr>
              <w:t xml:space="preserve"> and </w:t>
            </w:r>
            <w:r w:rsidRPr="00A6250F">
              <w:rPr>
                <w:i/>
                <w:lang w:val="en-GB"/>
              </w:rPr>
              <w:t>The Natural History of Religion</w:t>
            </w:r>
            <w:r w:rsidRPr="00A6250F">
              <w:rPr>
                <w:lang w:val="en-GB"/>
              </w:rPr>
              <w:t xml:space="preserve"> by David Hume that brought the consensus surrounding natural theology as a possible form of knowledge (the general supposition that the base of religion, the existence of an omniscient, omnipotent, creator and governor of the world, good and caring God is provable, or probable within the confines of reason) to an end.</w:t>
            </w:r>
          </w:p>
          <w:p w:rsidR="00C46A85" w:rsidRPr="00A6250F" w:rsidRDefault="00C46A85" w:rsidP="007B3277">
            <w:pPr>
              <w:rPr>
                <w:lang w:val="en-GB"/>
              </w:rPr>
            </w:pPr>
          </w:p>
          <w:p w:rsidR="00C46A85" w:rsidRPr="00A6250F" w:rsidRDefault="00C46A85" w:rsidP="007B3277">
            <w:pPr>
              <w:rPr>
                <w:lang w:val="en-GB"/>
              </w:rPr>
            </w:pPr>
            <w:r w:rsidRPr="00A6250F">
              <w:rPr>
                <w:lang w:val="en-GB"/>
              </w:rPr>
              <w:t>Throughout the course-unit students will examine the central works of Cudworth, Locke, Samuel Clarke, Berkeley, Hutcheson and Butler, and follow the changes in the central questions of the time: the argument from design, the problems of the existence of evil, the justifiability of analogical reasoning, its boundaries, and the question of what form(s) of supernatural being(s) can be proven to exist following these arguments.</w:t>
            </w:r>
          </w:p>
          <w:p w:rsidR="00C46A85" w:rsidRPr="00A6250F" w:rsidRDefault="00C46A85" w:rsidP="007B3277">
            <w:pPr>
              <w:rPr>
                <w:lang w:val="en-GB"/>
              </w:rPr>
            </w:pPr>
          </w:p>
          <w:p w:rsidR="00C46A85" w:rsidRPr="00A6250F" w:rsidRDefault="00C46A85" w:rsidP="007B3277">
            <w:r w:rsidRPr="00A6250F">
              <w:t>Irodalom:</w:t>
            </w:r>
          </w:p>
          <w:p w:rsidR="00C46A85" w:rsidRPr="00A6250F" w:rsidRDefault="00C46A85" w:rsidP="007B3277">
            <w:pPr>
              <w:rPr>
                <w:lang w:val="en-GB"/>
              </w:rPr>
            </w:pPr>
            <w:r w:rsidRPr="00A6250F">
              <w:rPr>
                <w:lang w:val="en-GB"/>
              </w:rPr>
              <w:t>Compulsory secondary literature:</w:t>
            </w:r>
          </w:p>
          <w:p w:rsidR="00C46A85" w:rsidRPr="00A6250F" w:rsidRDefault="00C46A85" w:rsidP="00866B8C"/>
          <w:p w:rsidR="00C46A85" w:rsidRPr="00A6250F" w:rsidRDefault="00C46A85" w:rsidP="00866B8C">
            <w:pPr>
              <w:numPr>
                <w:ilvl w:val="0"/>
                <w:numId w:val="3"/>
              </w:numPr>
              <w:rPr>
                <w:bCs/>
              </w:rPr>
            </w:pPr>
            <w:r w:rsidRPr="00A6250F">
              <w:rPr>
                <w:bCs/>
              </w:rPr>
              <w:t xml:space="preserve">Márkus, Gy.: </w:t>
            </w:r>
            <w:r w:rsidRPr="00A6250F">
              <w:rPr>
                <w:bCs/>
                <w:i/>
              </w:rPr>
              <w:t>Brit moralisták a XVIII. században.</w:t>
            </w:r>
            <w:r w:rsidRPr="00A6250F">
              <w:rPr>
                <w:bCs/>
              </w:rPr>
              <w:t xml:space="preserve"> Gondolat Kiadó, Budapest 1977.</w:t>
            </w:r>
          </w:p>
          <w:p w:rsidR="00C46A85" w:rsidRPr="00A6250F" w:rsidRDefault="00C46A85" w:rsidP="00866B8C">
            <w:pPr>
              <w:numPr>
                <w:ilvl w:val="0"/>
                <w:numId w:val="3"/>
              </w:numPr>
              <w:rPr>
                <w:bCs/>
              </w:rPr>
            </w:pPr>
            <w:r w:rsidRPr="00A6250F">
              <w:rPr>
                <w:bCs/>
              </w:rPr>
              <w:t xml:space="preserve">Locke, J.: </w:t>
            </w:r>
            <w:r w:rsidRPr="00A6250F">
              <w:rPr>
                <w:bCs/>
                <w:i/>
              </w:rPr>
              <w:t>Értekezés az emberi értelemről.</w:t>
            </w:r>
            <w:r w:rsidRPr="00A6250F">
              <w:rPr>
                <w:bCs/>
              </w:rPr>
              <w:t xml:space="preserve"> Osiris Kiadó, Budapest 2003.</w:t>
            </w:r>
          </w:p>
          <w:p w:rsidR="00C46A85" w:rsidRPr="00A6250F" w:rsidRDefault="00C46A85" w:rsidP="00866B8C">
            <w:pPr>
              <w:numPr>
                <w:ilvl w:val="0"/>
                <w:numId w:val="3"/>
              </w:numPr>
              <w:rPr>
                <w:bCs/>
              </w:rPr>
            </w:pPr>
            <w:r w:rsidRPr="00A6250F">
              <w:rPr>
                <w:bCs/>
              </w:rPr>
              <w:t xml:space="preserve">Berkeley, G.: </w:t>
            </w:r>
            <w:r w:rsidRPr="00A6250F">
              <w:rPr>
                <w:bCs/>
                <w:i/>
              </w:rPr>
              <w:t>Tanulmányok az emberi megismerés alapelveiről.</w:t>
            </w:r>
            <w:r w:rsidRPr="00A6250F">
              <w:rPr>
                <w:bCs/>
              </w:rPr>
              <w:t xml:space="preserve"> L’Harmattan, Budapest 2006.</w:t>
            </w:r>
          </w:p>
          <w:p w:rsidR="00C46A85" w:rsidRPr="00A6250F" w:rsidRDefault="00C46A85" w:rsidP="00866B8C">
            <w:pPr>
              <w:numPr>
                <w:ilvl w:val="0"/>
                <w:numId w:val="3"/>
              </w:numPr>
              <w:rPr>
                <w:bCs/>
              </w:rPr>
            </w:pPr>
            <w:r w:rsidRPr="00A6250F">
              <w:rPr>
                <w:bCs/>
              </w:rPr>
              <w:t xml:space="preserve">Hume, D.: </w:t>
            </w:r>
            <w:r w:rsidRPr="00A6250F">
              <w:rPr>
                <w:bCs/>
                <w:i/>
              </w:rPr>
              <w:t>Beszélgetések a természetes vallásról.</w:t>
            </w:r>
            <w:r w:rsidRPr="00A6250F">
              <w:rPr>
                <w:bCs/>
              </w:rPr>
              <w:t xml:space="preserve"> Atlantisz, Budapest 2006.</w:t>
            </w:r>
          </w:p>
          <w:p w:rsidR="00C46A85" w:rsidRPr="00A6250F" w:rsidRDefault="00C46A85" w:rsidP="00866B8C">
            <w:pPr>
              <w:numPr>
                <w:ilvl w:val="0"/>
                <w:numId w:val="3"/>
              </w:numPr>
              <w:rPr>
                <w:bCs/>
              </w:rPr>
            </w:pPr>
            <w:r w:rsidRPr="00A6250F">
              <w:rPr>
                <w:bCs/>
              </w:rPr>
              <w:t xml:space="preserve">Gaskin, J.C.A.: </w:t>
            </w:r>
            <w:r w:rsidRPr="00A6250F">
              <w:rPr>
                <w:bCs/>
                <w:i/>
                <w:iCs/>
              </w:rPr>
              <w:t>Hume’s Philosophy of Religion.</w:t>
            </w:r>
            <w:r w:rsidRPr="00A6250F">
              <w:rPr>
                <w:bCs/>
              </w:rPr>
              <w:t xml:space="preserve"> Macmillan, London 1988. </w:t>
            </w:r>
          </w:p>
          <w:p w:rsidR="00C46A85" w:rsidRPr="00A6250F" w:rsidRDefault="00C46A85" w:rsidP="00866B8C">
            <w:pPr>
              <w:numPr>
                <w:ilvl w:val="0"/>
                <w:numId w:val="3"/>
              </w:numPr>
            </w:pPr>
            <w:r w:rsidRPr="00A6250F">
              <w:rPr>
                <w:bCs/>
              </w:rPr>
              <w:t xml:space="preserve">O’Connor, D.: </w:t>
            </w:r>
            <w:r w:rsidRPr="00A6250F">
              <w:rPr>
                <w:bCs/>
                <w:i/>
                <w:iCs/>
              </w:rPr>
              <w:t>Hume On Religion.</w:t>
            </w:r>
            <w:r w:rsidRPr="00A6250F">
              <w:rPr>
                <w:bCs/>
              </w:rPr>
              <w:t xml:space="preserve"> Routledge, London – New York 2001.</w:t>
            </w:r>
          </w:p>
          <w:p w:rsidR="00C46A85" w:rsidRPr="00A6250F" w:rsidRDefault="00C46A85" w:rsidP="00CF19A8">
            <w:pPr>
              <w:jc w:val="both"/>
              <w:rPr>
                <w:b/>
                <w:bCs/>
                <w:lang w:val="hu-HU"/>
              </w:rPr>
            </w:pPr>
          </w:p>
        </w:tc>
      </w:tr>
      <w:tr w:rsidR="00C46A85" w:rsidRPr="00A6250F" w:rsidTr="00CF19A8">
        <w:trPr>
          <w:tblCellSpacing w:w="15" w:type="dxa"/>
        </w:trPr>
        <w:tc>
          <w:tcPr>
            <w:tcW w:w="8400" w:type="dxa"/>
            <w:gridSpan w:val="2"/>
            <w:vAlign w:val="center"/>
          </w:tcPr>
          <w:p w:rsidR="00C46A85" w:rsidRPr="00A6250F" w:rsidRDefault="00C46A85" w:rsidP="00866B8C">
            <w:pPr>
              <w:rPr>
                <w:b/>
                <w:bCs/>
              </w:rPr>
            </w:pPr>
            <w:r w:rsidRPr="00A6250F">
              <w:rPr>
                <w:b/>
                <w:bCs/>
              </w:rPr>
              <w:t>Vallástudományi iskolák 1. (Schools of the Study of Religion 1.)</w:t>
            </w:r>
          </w:p>
          <w:p w:rsidR="00C46A85" w:rsidRPr="00A6250F" w:rsidRDefault="00C46A85" w:rsidP="00866B8C">
            <w:pPr>
              <w:jc w:val="both"/>
              <w:rPr>
                <w:b/>
                <w:bCs/>
                <w:lang w:val="hu-HU"/>
              </w:rPr>
            </w:pPr>
            <w:r w:rsidRPr="00A6250F">
              <w:t>Felelős: dr. Kósa Gábor habilitált egyetemi docens (ELTE BTK TKI)</w:t>
            </w:r>
          </w:p>
        </w:tc>
      </w:tr>
      <w:tr w:rsidR="00C46A85" w:rsidRPr="00A6250F" w:rsidTr="003C16B8">
        <w:trPr>
          <w:gridBefore w:val="1"/>
          <w:wBefore w:w="5" w:type="dxa"/>
          <w:tblCellSpacing w:w="15" w:type="dxa"/>
        </w:trPr>
        <w:tc>
          <w:tcPr>
            <w:tcW w:w="8365" w:type="dxa"/>
            <w:tcMar>
              <w:top w:w="15" w:type="dxa"/>
              <w:left w:w="240" w:type="dxa"/>
              <w:bottom w:w="15" w:type="dxa"/>
              <w:right w:w="15" w:type="dxa"/>
            </w:tcMar>
            <w:vAlign w:val="center"/>
          </w:tcPr>
          <w:p w:rsidR="00C46A85" w:rsidRPr="00A6250F" w:rsidRDefault="00C46A85" w:rsidP="00CF19A8">
            <w:pPr>
              <w:jc w:val="both"/>
              <w:rPr>
                <w:lang w:val="hu-HU"/>
              </w:rPr>
            </w:pPr>
            <w:r w:rsidRPr="00A6250F">
              <w:rPr>
                <w:lang w:val="hu-HU"/>
              </w:rPr>
              <w:t>10 kredit, gyakorlat, kötelező, nem ismételhető</w:t>
            </w:r>
          </w:p>
          <w:p w:rsidR="00C46A85" w:rsidRPr="00A6250F" w:rsidRDefault="00C46A85" w:rsidP="00CF19A8">
            <w:pPr>
              <w:jc w:val="both"/>
              <w:rPr>
                <w:lang w:val="hu-HU"/>
              </w:rPr>
            </w:pPr>
          </w:p>
          <w:p w:rsidR="00C46A85" w:rsidRPr="00A6250F" w:rsidRDefault="00C46A85" w:rsidP="00866B8C">
            <w:pPr>
              <w:rPr>
                <w:lang w:val="hu-HU"/>
              </w:rPr>
            </w:pPr>
            <w:r w:rsidRPr="00A6250F">
              <w:rPr>
                <w:lang w:val="hu-HU"/>
              </w:rPr>
              <w:t>A tantárgy első tanegysége néhány, történetileg kiemelkedően fontos vallástudományi iskola, módszer, illetve személyiség munkásságának részletesebb áttekintésére összpontosít jelentősebb mennyiségű szöveg átolvasásán alapuló közös munkával. A graduális bevezetésekhez képest, amelyek általában a klasszikus vallástudományi iskolák korábbi eredményeit mutatják be, ez a kurzus inkább kortárs megközelítésmódokat vizsgál a maguk történeti távlatában, tehát azt, hogy a jelzett iskolák hogyan hatnak ma is a vallástudományban. Másképpen fogalmazva: a tanegység körül kívánja járni egyes, a jelenlegi vallástudományi diskurzust is meghatározó megközelítésmódok történeti gyökereit, valamint bemutatja a korábbiakhoz képest megváltozott tematikákat, hangsúlyeltolódásokat és kortárs kérdésfelvetéseket.</w:t>
            </w:r>
          </w:p>
          <w:p w:rsidR="00C46A85" w:rsidRPr="00A6250F" w:rsidRDefault="00C46A85" w:rsidP="00866B8C">
            <w:pPr>
              <w:rPr>
                <w:lang w:val="hu-HU"/>
              </w:rPr>
            </w:pPr>
            <w:r w:rsidRPr="00A6250F">
              <w:rPr>
                <w:lang w:val="hu-HU"/>
              </w:rPr>
              <w:t xml:space="preserve">A </w:t>
            </w:r>
            <w:r w:rsidRPr="00A6250F">
              <w:rPr>
                <w:bCs/>
                <w:i/>
              </w:rPr>
              <w:t>Vallástudományi iskolák 1.</w:t>
            </w:r>
            <w:r w:rsidRPr="00A6250F">
              <w:rPr>
                <w:b/>
                <w:bCs/>
              </w:rPr>
              <w:t xml:space="preserve"> </w:t>
            </w:r>
            <w:r w:rsidRPr="00A6250F">
              <w:rPr>
                <w:lang w:val="hu-HU"/>
              </w:rPr>
              <w:t xml:space="preserve">kurzus során vizsgált lehetséges témák (zárójelben a kötelező szakirodalom): </w:t>
            </w:r>
          </w:p>
          <w:p w:rsidR="00C46A85" w:rsidRPr="00A6250F" w:rsidRDefault="00C46A85" w:rsidP="00866B8C">
            <w:pPr>
              <w:rPr>
                <w:lang w:val="hu-HU"/>
              </w:rPr>
            </w:pPr>
            <w:r w:rsidRPr="00A6250F">
              <w:rPr>
                <w:lang w:val="hu-HU"/>
              </w:rPr>
              <w:t>1. Vallásantropológia régen és ma (Hackett 2005).</w:t>
            </w:r>
          </w:p>
          <w:p w:rsidR="00C46A85" w:rsidRPr="00A6250F" w:rsidRDefault="00C46A85" w:rsidP="00866B8C">
            <w:pPr>
              <w:rPr>
                <w:lang w:val="hu-HU"/>
              </w:rPr>
            </w:pPr>
            <w:r w:rsidRPr="00A6250F">
              <w:rPr>
                <w:lang w:val="hu-HU"/>
              </w:rPr>
              <w:t>2. Vallásfenomenológia régen és ma (Daniels 1995, Allen 2005).</w:t>
            </w:r>
          </w:p>
          <w:p w:rsidR="00C46A85" w:rsidRPr="00A6250F" w:rsidRDefault="00C46A85" w:rsidP="00866B8C">
            <w:pPr>
              <w:rPr>
                <w:lang w:val="hu-HU"/>
              </w:rPr>
            </w:pPr>
            <w:r w:rsidRPr="00A6250F">
              <w:rPr>
                <w:lang w:val="hu-HU"/>
              </w:rPr>
              <w:t>3. Összehasonlító vallástudomány régen és ma (Paden 2005).</w:t>
            </w:r>
          </w:p>
          <w:p w:rsidR="00C46A85" w:rsidRPr="00A6250F" w:rsidRDefault="00C46A85" w:rsidP="00866B8C">
            <w:pPr>
              <w:rPr>
                <w:lang w:val="hu-HU"/>
              </w:rPr>
            </w:pPr>
            <w:r w:rsidRPr="00A6250F">
              <w:rPr>
                <w:lang w:val="hu-HU"/>
              </w:rPr>
              <w:t>4. Valláspszichológia régen és ma (Main 2006).</w:t>
            </w:r>
          </w:p>
          <w:p w:rsidR="00C46A85" w:rsidRPr="00A6250F" w:rsidRDefault="00C46A85" w:rsidP="00866B8C">
            <w:pPr>
              <w:rPr>
                <w:lang w:val="hu-HU"/>
              </w:rPr>
            </w:pPr>
            <w:r w:rsidRPr="00A6250F">
              <w:rPr>
                <w:lang w:val="hu-HU"/>
              </w:rPr>
              <w:t>5. Vallásszociológia régen és ma (Davie 2006).</w:t>
            </w:r>
          </w:p>
          <w:p w:rsidR="00C46A85" w:rsidRPr="00A6250F" w:rsidRDefault="00C46A85" w:rsidP="00866B8C">
            <w:pPr>
              <w:rPr>
                <w:lang w:val="hu-HU"/>
              </w:rPr>
            </w:pPr>
          </w:p>
          <w:p w:rsidR="00C46A85" w:rsidRPr="00A6250F" w:rsidRDefault="00C46A85" w:rsidP="007B3277">
            <w:pPr>
              <w:rPr>
                <w:lang w:val="en-GB"/>
              </w:rPr>
            </w:pPr>
            <w:r w:rsidRPr="00A6250F">
              <w:rPr>
                <w:lang w:val="en-GB"/>
              </w:rPr>
              <w:t>The first course-unit of the subject focuses on surveying a number of the most important schools of the study of religions, such methods, as well as individual scholars through reading primary texts and group work. As opposed to graduate courses, which focus on the prior achievements of the schools of the study of religion this course-unit will introduce contemporary methods and their history, how certain schools effect the study of religion in present times. In other words: the course-unit aims to examine the roots of contemporary schools of the study of religion and their respective methods, and to introduce changes in themes and emphasise compared to classical schools, as well as a number of contemporary questions.</w:t>
            </w:r>
          </w:p>
          <w:p w:rsidR="00C46A85" w:rsidRPr="00A6250F" w:rsidRDefault="00C46A85" w:rsidP="007B3277">
            <w:pPr>
              <w:rPr>
                <w:lang w:val="en-GB"/>
              </w:rPr>
            </w:pPr>
            <w:r w:rsidRPr="00A6250F">
              <w:rPr>
                <w:lang w:val="en-GB"/>
              </w:rPr>
              <w:t xml:space="preserve">Possible subjects of the </w:t>
            </w:r>
            <w:r w:rsidRPr="00A6250F">
              <w:rPr>
                <w:i/>
                <w:lang w:val="en-GB"/>
              </w:rPr>
              <w:t>Schools of the Study of Religion 1</w:t>
            </w:r>
            <w:r w:rsidRPr="00A6250F">
              <w:rPr>
                <w:lang w:val="en-GB"/>
              </w:rPr>
              <w:t xml:space="preserve"> course-unit (compulsory secondary literature listed in parenthesis):</w:t>
            </w:r>
          </w:p>
          <w:p w:rsidR="00C46A85" w:rsidRPr="00A6250F" w:rsidRDefault="00C46A85" w:rsidP="007B3277">
            <w:pPr>
              <w:rPr>
                <w:lang w:val="en-GB"/>
              </w:rPr>
            </w:pPr>
            <w:r w:rsidRPr="00A6250F">
              <w:rPr>
                <w:lang w:val="en-GB"/>
              </w:rPr>
              <w:t>1. Anthropology of religion ‘then’ and today.  (Hackett 2005).</w:t>
            </w:r>
          </w:p>
          <w:p w:rsidR="00C46A85" w:rsidRPr="00A6250F" w:rsidRDefault="00C46A85" w:rsidP="007B3277">
            <w:pPr>
              <w:rPr>
                <w:lang w:val="en-GB"/>
              </w:rPr>
            </w:pPr>
            <w:r w:rsidRPr="00A6250F">
              <w:rPr>
                <w:lang w:val="en-GB"/>
              </w:rPr>
              <w:t>2. Phenomenology of religion ‘then’ and today (Daniels 1995, Allen 2005).</w:t>
            </w:r>
          </w:p>
          <w:p w:rsidR="00C46A85" w:rsidRPr="00A6250F" w:rsidRDefault="00C46A85" w:rsidP="007B3277">
            <w:pPr>
              <w:rPr>
                <w:lang w:val="en-GB"/>
              </w:rPr>
            </w:pPr>
            <w:r w:rsidRPr="00A6250F">
              <w:rPr>
                <w:lang w:val="en-GB"/>
              </w:rPr>
              <w:t>3. The comparative study of religion ‘then’ and today (Paden 2005).</w:t>
            </w:r>
          </w:p>
          <w:p w:rsidR="00C46A85" w:rsidRPr="00A6250F" w:rsidRDefault="00C46A85" w:rsidP="007B3277">
            <w:pPr>
              <w:rPr>
                <w:lang w:val="en-GB"/>
              </w:rPr>
            </w:pPr>
            <w:r w:rsidRPr="00A6250F">
              <w:rPr>
                <w:lang w:val="en-GB"/>
              </w:rPr>
              <w:t>4. Psychology of religion ‘then’ and today (Main 2006.)</w:t>
            </w:r>
          </w:p>
          <w:p w:rsidR="00C46A85" w:rsidRPr="00A6250F" w:rsidRDefault="00C46A85" w:rsidP="007B3277">
            <w:pPr>
              <w:rPr>
                <w:lang w:val="en-GB"/>
              </w:rPr>
            </w:pPr>
            <w:r w:rsidRPr="00A6250F">
              <w:rPr>
                <w:lang w:val="en-GB"/>
              </w:rPr>
              <w:t xml:space="preserve">5. Sociology of religion ‘then’ and today (Davie 2006).  </w:t>
            </w:r>
          </w:p>
          <w:p w:rsidR="00C46A85" w:rsidRPr="00A6250F" w:rsidRDefault="00C46A85" w:rsidP="007B3277">
            <w:pPr>
              <w:rPr>
                <w:lang w:val="en-GB"/>
              </w:rPr>
            </w:pPr>
          </w:p>
          <w:p w:rsidR="00C46A85" w:rsidRPr="00A6250F" w:rsidRDefault="00C46A85" w:rsidP="00866B8C">
            <w:pPr>
              <w:rPr>
                <w:lang w:val="hu-HU"/>
              </w:rPr>
            </w:pPr>
            <w:r w:rsidRPr="00A6250F">
              <w:rPr>
                <w:lang w:val="hu-HU"/>
              </w:rPr>
              <w:t>Kötelező szakirodalom:</w:t>
            </w:r>
          </w:p>
          <w:p w:rsidR="00C46A85" w:rsidRPr="00A6250F" w:rsidRDefault="00C46A85" w:rsidP="007B3277">
            <w:pPr>
              <w:rPr>
                <w:lang w:val="en-GB"/>
              </w:rPr>
            </w:pPr>
            <w:r w:rsidRPr="00A6250F">
              <w:rPr>
                <w:lang w:val="en-GB"/>
              </w:rPr>
              <w:t>Compulsory secondary literature:</w:t>
            </w:r>
          </w:p>
          <w:p w:rsidR="00C46A85" w:rsidRPr="00A6250F" w:rsidRDefault="00C46A85" w:rsidP="00866B8C">
            <w:pPr>
              <w:rPr>
                <w:lang w:val="hu-HU"/>
              </w:rPr>
            </w:pPr>
          </w:p>
          <w:p w:rsidR="00C46A85" w:rsidRPr="00A6250F" w:rsidRDefault="00C46A85" w:rsidP="00866B8C">
            <w:pPr>
              <w:numPr>
                <w:ilvl w:val="0"/>
                <w:numId w:val="4"/>
              </w:numPr>
              <w:rPr>
                <w:lang w:val="hu-HU"/>
              </w:rPr>
            </w:pPr>
            <w:r w:rsidRPr="00A6250F">
              <w:rPr>
                <w:lang w:val="hu-HU"/>
              </w:rPr>
              <w:t xml:space="preserve">Allen, Douglas 2005. „Phenomenology of religion.” In: John R. Hinnells (ed.) </w:t>
            </w:r>
            <w:r w:rsidRPr="00A6250F">
              <w:rPr>
                <w:i/>
                <w:iCs/>
                <w:lang w:val="hu-HU"/>
              </w:rPr>
              <w:t>The Routledge Companion to the Study of Religion</w:t>
            </w:r>
            <w:r w:rsidRPr="00A6250F">
              <w:rPr>
                <w:lang w:val="hu-HU"/>
              </w:rPr>
              <w:t xml:space="preserve"> (Routledge Religion Companions). London and New York: Routledge, 182‒207.</w:t>
            </w:r>
          </w:p>
          <w:p w:rsidR="00C46A85" w:rsidRPr="00A6250F" w:rsidRDefault="00C46A85" w:rsidP="00866B8C">
            <w:pPr>
              <w:numPr>
                <w:ilvl w:val="0"/>
                <w:numId w:val="4"/>
              </w:numPr>
              <w:rPr>
                <w:lang w:val="hu-HU"/>
              </w:rPr>
            </w:pPr>
            <w:r w:rsidRPr="00A6250F">
              <w:rPr>
                <w:lang w:val="hu-HU"/>
              </w:rPr>
              <w:t xml:space="preserve">Daniels, John 1995. „How new is neo-phenomenology? A comparison of the methodologies of Gerardus van der Leeuw and Jacques Waardenburg.” </w:t>
            </w:r>
            <w:r w:rsidRPr="00A6250F">
              <w:rPr>
                <w:i/>
                <w:iCs/>
                <w:lang w:val="hu-HU"/>
              </w:rPr>
              <w:t xml:space="preserve">Method &amp; Theory in the Study of Religion </w:t>
            </w:r>
            <w:r w:rsidRPr="00A6250F">
              <w:rPr>
                <w:lang w:val="hu-HU"/>
              </w:rPr>
              <w:t>7.1: 43‒55.</w:t>
            </w:r>
          </w:p>
          <w:p w:rsidR="00C46A85" w:rsidRPr="00A6250F" w:rsidRDefault="00C46A85" w:rsidP="00866B8C">
            <w:pPr>
              <w:numPr>
                <w:ilvl w:val="0"/>
                <w:numId w:val="4"/>
              </w:numPr>
              <w:rPr>
                <w:lang w:val="hu-HU"/>
              </w:rPr>
            </w:pPr>
            <w:r w:rsidRPr="00A6250F">
              <w:rPr>
                <w:lang w:val="hu-HU"/>
              </w:rPr>
              <w:t>Davie, Grace 2006. „</w:t>
            </w:r>
            <w:r w:rsidRPr="00A6250F">
              <w:rPr>
                <w:lang w:val="hu-HU" w:eastAsia="zh-CN"/>
              </w:rPr>
              <w:t>Sociology of Religion.</w:t>
            </w:r>
            <w:r w:rsidRPr="00A6250F">
              <w:rPr>
                <w:lang w:val="hu-HU"/>
              </w:rPr>
              <w:t>”</w:t>
            </w:r>
            <w:r w:rsidRPr="00A6250F">
              <w:rPr>
                <w:lang w:val="hu-HU" w:eastAsia="zh-CN"/>
              </w:rPr>
              <w:t xml:space="preserve"> In: </w:t>
            </w:r>
            <w:r w:rsidRPr="00A6250F">
              <w:rPr>
                <w:lang w:val="hu-HU"/>
              </w:rPr>
              <w:t xml:space="preserve">Segal, Robert A. 2006. </w:t>
            </w:r>
            <w:r w:rsidRPr="00A6250F">
              <w:rPr>
                <w:i/>
                <w:iCs/>
                <w:lang w:val="hu-HU"/>
              </w:rPr>
              <w:t>The Blackwell Companion to the Study of Religion.</w:t>
            </w:r>
            <w:r w:rsidRPr="00A6250F">
              <w:rPr>
                <w:lang w:val="hu-HU"/>
              </w:rPr>
              <w:t xml:space="preserve"> Oxford: Blackwell Publishing Ltd, </w:t>
            </w:r>
            <w:r w:rsidRPr="00A6250F">
              <w:rPr>
                <w:lang w:val="hu-HU" w:eastAsia="zh-CN"/>
              </w:rPr>
              <w:t>171‒191.</w:t>
            </w:r>
          </w:p>
          <w:p w:rsidR="00C46A85" w:rsidRPr="00A6250F" w:rsidRDefault="00C46A85" w:rsidP="00866B8C">
            <w:pPr>
              <w:numPr>
                <w:ilvl w:val="0"/>
                <w:numId w:val="4"/>
              </w:numPr>
              <w:rPr>
                <w:rFonts w:eastAsia="SabonLTStd-Roman"/>
                <w:lang w:val="hu-HU" w:eastAsia="zh-CN"/>
              </w:rPr>
            </w:pPr>
            <w:r w:rsidRPr="00A6250F">
              <w:rPr>
                <w:lang w:val="hu-HU"/>
              </w:rPr>
              <w:t>Geertz, Armin</w:t>
            </w:r>
            <w:r w:rsidRPr="00A6250F">
              <w:rPr>
                <w:vertAlign w:val="superscript"/>
                <w:lang w:val="hu-HU"/>
              </w:rPr>
              <w:t xml:space="preserve"> </w:t>
            </w:r>
            <w:r w:rsidRPr="00A6250F">
              <w:rPr>
                <w:lang w:val="hu-HU"/>
              </w:rPr>
              <w:t>W.  2000. “Global Perspectives on Methodology in the Study of</w:t>
            </w:r>
            <w:r w:rsidRPr="00A6250F">
              <w:rPr>
                <w:i/>
                <w:iCs/>
                <w:lang w:val="hu-HU"/>
              </w:rPr>
              <w:t xml:space="preserve"> Religion</w:t>
            </w:r>
            <w:r w:rsidRPr="00A6250F">
              <w:rPr>
                <w:rFonts w:eastAsia="SabonLTStd-Roman"/>
                <w:i/>
                <w:iCs/>
                <w:lang w:val="hu-HU" w:eastAsia="zh-CN"/>
              </w:rPr>
              <w:t>.”</w:t>
            </w:r>
            <w:r w:rsidRPr="00A6250F">
              <w:rPr>
                <w:i/>
                <w:iCs/>
                <w:lang w:val="hu-HU"/>
              </w:rPr>
              <w:t xml:space="preserve"> </w:t>
            </w:r>
            <w:r w:rsidRPr="00A6250F">
              <w:rPr>
                <w:rFonts w:eastAsia="SabonLTStd-Roman"/>
                <w:i/>
                <w:iCs/>
                <w:lang w:val="hu-HU" w:eastAsia="zh-CN"/>
              </w:rPr>
              <w:t>Method &amp; Theory in the Study of Religion</w:t>
            </w:r>
            <w:r w:rsidRPr="00A6250F">
              <w:rPr>
                <w:rFonts w:eastAsia="SabonLTStd-Roman"/>
                <w:lang w:val="hu-HU" w:eastAsia="zh-CN"/>
              </w:rPr>
              <w:t xml:space="preserve"> 12: 49‒73.</w:t>
            </w:r>
          </w:p>
          <w:p w:rsidR="00C46A85" w:rsidRPr="00A6250F" w:rsidRDefault="00C46A85" w:rsidP="00866B8C">
            <w:pPr>
              <w:numPr>
                <w:ilvl w:val="0"/>
                <w:numId w:val="4"/>
              </w:numPr>
              <w:rPr>
                <w:lang w:val="hu-HU"/>
              </w:rPr>
            </w:pPr>
            <w:r w:rsidRPr="00A6250F">
              <w:rPr>
                <w:lang w:val="hu-HU"/>
              </w:rPr>
              <w:t xml:space="preserve">Hackett, Rosalind I. J. 2005. „Anthropology of religion” In: John R. Hinnells (ed.) </w:t>
            </w:r>
            <w:r w:rsidRPr="00A6250F">
              <w:rPr>
                <w:i/>
                <w:iCs/>
                <w:lang w:val="hu-HU"/>
              </w:rPr>
              <w:t>The Routledge Companion to the Study of Religion</w:t>
            </w:r>
            <w:r w:rsidRPr="00A6250F">
              <w:rPr>
                <w:lang w:val="hu-HU"/>
              </w:rPr>
              <w:t xml:space="preserve"> (Routledge Religion Companions). London and New York: Routledge, 144‒163.</w:t>
            </w:r>
          </w:p>
          <w:p w:rsidR="00C46A85" w:rsidRPr="00A6250F" w:rsidRDefault="00C46A85" w:rsidP="00866B8C">
            <w:pPr>
              <w:numPr>
                <w:ilvl w:val="0"/>
                <w:numId w:val="4"/>
              </w:numPr>
              <w:rPr>
                <w:lang w:val="hu-HU"/>
              </w:rPr>
            </w:pPr>
            <w:r w:rsidRPr="00A6250F">
              <w:rPr>
                <w:lang w:val="hu-HU" w:eastAsia="zh-CN"/>
              </w:rPr>
              <w:t xml:space="preserve">Main, Roderick 2006. „Psychology of Religion.” In: </w:t>
            </w:r>
            <w:r w:rsidRPr="00A6250F">
              <w:rPr>
                <w:lang w:val="hu-HU"/>
              </w:rPr>
              <w:t xml:space="preserve">Segal, Robert A. 2006. </w:t>
            </w:r>
            <w:r w:rsidRPr="00A6250F">
              <w:rPr>
                <w:i/>
                <w:iCs/>
                <w:lang w:val="hu-HU"/>
              </w:rPr>
              <w:t>The Blackwell Companion to the Study of Religion.</w:t>
            </w:r>
            <w:r w:rsidRPr="00A6250F">
              <w:rPr>
                <w:lang w:val="hu-HU"/>
              </w:rPr>
              <w:t xml:space="preserve"> Oxford: Blackwell Publishing Ltd, </w:t>
            </w:r>
            <w:r w:rsidRPr="00A6250F">
              <w:rPr>
                <w:lang w:val="hu-HU" w:eastAsia="zh-CN"/>
              </w:rPr>
              <w:t>147‒169.</w:t>
            </w:r>
          </w:p>
          <w:p w:rsidR="00C46A85" w:rsidRPr="00A6250F" w:rsidRDefault="00C46A85" w:rsidP="00866B8C">
            <w:pPr>
              <w:numPr>
                <w:ilvl w:val="0"/>
                <w:numId w:val="4"/>
              </w:numPr>
              <w:rPr>
                <w:lang w:val="hu-HU"/>
              </w:rPr>
            </w:pPr>
            <w:r w:rsidRPr="00A6250F">
              <w:rPr>
                <w:lang w:val="hu-HU"/>
              </w:rPr>
              <w:t xml:space="preserve">Paden, William E. 2005. „Comparative religion.” In: John R. Hinnells (ed.) </w:t>
            </w:r>
            <w:r w:rsidRPr="00A6250F">
              <w:rPr>
                <w:i/>
                <w:iCs/>
                <w:lang w:val="hu-HU"/>
              </w:rPr>
              <w:t>The Routledge Companion to the Study of Religion</w:t>
            </w:r>
            <w:r w:rsidRPr="00A6250F">
              <w:rPr>
                <w:lang w:val="hu-HU"/>
              </w:rPr>
              <w:t xml:space="preserve"> (Routledge Religion Companions). London and New York: Routledge, 208‒225.</w:t>
            </w:r>
          </w:p>
          <w:p w:rsidR="00C46A85" w:rsidRPr="00A6250F" w:rsidRDefault="00C46A85" w:rsidP="00866B8C">
            <w:pPr>
              <w:ind w:left="567" w:hanging="567"/>
              <w:rPr>
                <w:lang w:val="hu-HU"/>
              </w:rPr>
            </w:pPr>
          </w:p>
          <w:p w:rsidR="00C46A85" w:rsidRPr="00A6250F" w:rsidRDefault="00C46A85" w:rsidP="00866B8C">
            <w:pPr>
              <w:rPr>
                <w:lang w:val="hu-HU"/>
              </w:rPr>
            </w:pPr>
            <w:r w:rsidRPr="00A6250F">
              <w:rPr>
                <w:lang w:val="hu-HU"/>
              </w:rPr>
              <w:t>Ajánlott szakirodalom:</w:t>
            </w:r>
          </w:p>
          <w:p w:rsidR="00C46A85" w:rsidRPr="00A6250F" w:rsidRDefault="00C46A85" w:rsidP="00866B8C">
            <w:pPr>
              <w:numPr>
                <w:ilvl w:val="0"/>
                <w:numId w:val="5"/>
              </w:numPr>
              <w:rPr>
                <w:lang w:val="hu-HU"/>
              </w:rPr>
            </w:pPr>
            <w:r w:rsidRPr="00A6250F">
              <w:rPr>
                <w:lang w:val="hu-HU"/>
              </w:rPr>
              <w:t xml:space="preserve">Merkur, Dan 1996. „Psychoanalytic methods in the history of religion: A personal statement.” </w:t>
            </w:r>
            <w:r w:rsidRPr="00A6250F">
              <w:rPr>
                <w:rFonts w:eastAsia="SabonLTStd-Roman"/>
                <w:i/>
                <w:iCs/>
                <w:lang w:val="hu-HU" w:eastAsia="zh-CN"/>
              </w:rPr>
              <w:t>Method &amp; Theory in the Study of Religion</w:t>
            </w:r>
            <w:r w:rsidRPr="00A6250F">
              <w:rPr>
                <w:lang w:val="hu-HU"/>
              </w:rPr>
              <w:t xml:space="preserve"> 8.4: 327‒343.</w:t>
            </w:r>
          </w:p>
          <w:p w:rsidR="00C46A85" w:rsidRPr="00A6250F" w:rsidRDefault="00C46A85" w:rsidP="00866B8C">
            <w:pPr>
              <w:ind w:left="708"/>
              <w:jc w:val="both"/>
            </w:pPr>
            <w:r w:rsidRPr="00A6250F">
              <w:rPr>
                <w:lang w:val="hu-HU"/>
              </w:rPr>
              <w:t xml:space="preserve">Seitz, John C. 2013. „Keep Research Weird: Psychoanalytic Techniques and Fieldwork in the Study of Religion.” </w:t>
            </w:r>
            <w:r w:rsidRPr="00A6250F">
              <w:rPr>
                <w:rFonts w:eastAsia="SabonLTStd-Roman"/>
                <w:i/>
                <w:iCs/>
                <w:lang w:val="hu-HU" w:eastAsia="zh-CN"/>
              </w:rPr>
              <w:t xml:space="preserve">Method &amp; Theory in the Study of </w:t>
            </w:r>
            <w:r w:rsidRPr="00A6250F">
              <w:rPr>
                <w:i/>
                <w:iCs/>
                <w:lang w:val="hu-HU"/>
              </w:rPr>
              <w:t xml:space="preserve">Religion </w:t>
            </w:r>
            <w:r w:rsidRPr="00A6250F">
              <w:rPr>
                <w:lang w:val="hu-HU"/>
              </w:rPr>
              <w:t>25: 26‒52.</w:t>
            </w:r>
          </w:p>
          <w:p w:rsidR="00C46A85" w:rsidRPr="00A6250F" w:rsidRDefault="00C46A85" w:rsidP="00CF19A8">
            <w:pPr>
              <w:jc w:val="both"/>
              <w:rPr>
                <w:lang w:val="hu-HU"/>
              </w:rPr>
            </w:pPr>
          </w:p>
          <w:p w:rsidR="00C46A85" w:rsidRPr="00A6250F" w:rsidRDefault="00C46A85" w:rsidP="00CF19A8">
            <w:pPr>
              <w:jc w:val="both"/>
              <w:rPr>
                <w:b/>
                <w:bCs/>
                <w:lang w:val="hu-HU"/>
              </w:rPr>
            </w:pPr>
          </w:p>
        </w:tc>
      </w:tr>
      <w:tr w:rsidR="00C46A85" w:rsidRPr="00A6250F" w:rsidTr="003C16B8">
        <w:trPr>
          <w:gridBefore w:val="1"/>
          <w:wBefore w:w="5" w:type="dxa"/>
          <w:tblCellSpacing w:w="15" w:type="dxa"/>
        </w:trPr>
        <w:tc>
          <w:tcPr>
            <w:tcW w:w="8365" w:type="dxa"/>
            <w:vAlign w:val="center"/>
          </w:tcPr>
          <w:p w:rsidR="00C46A85" w:rsidRPr="00A6250F" w:rsidRDefault="00C46A85" w:rsidP="00866B8C">
            <w:pPr>
              <w:rPr>
                <w:b/>
                <w:bCs/>
              </w:rPr>
            </w:pPr>
            <w:r w:rsidRPr="00A6250F">
              <w:rPr>
                <w:b/>
                <w:bCs/>
                <w:lang w:val="hu-HU"/>
              </w:rPr>
              <w:t xml:space="preserve">Vallástudományi iskolák 2. </w:t>
            </w:r>
            <w:r w:rsidRPr="00A6250F">
              <w:rPr>
                <w:b/>
                <w:bCs/>
              </w:rPr>
              <w:t>(Schools of the Study of Religion 2.)</w:t>
            </w:r>
          </w:p>
          <w:p w:rsidR="00C46A85" w:rsidRPr="00A6250F" w:rsidRDefault="00C46A85" w:rsidP="00CF19A8">
            <w:pPr>
              <w:jc w:val="both"/>
              <w:rPr>
                <w:lang w:val="hu-HU"/>
              </w:rPr>
            </w:pPr>
            <w:r w:rsidRPr="00A6250F">
              <w:rPr>
                <w:lang w:val="hu-HU"/>
              </w:rPr>
              <w:t xml:space="preserve">Felelős: dr. Kósa Gábor </w:t>
            </w:r>
            <w:r w:rsidRPr="00A6250F">
              <w:t>habilitált egyetemi docens (ELTE BTK TKI)</w:t>
            </w:r>
          </w:p>
        </w:tc>
      </w:tr>
      <w:tr w:rsidR="00C46A85" w:rsidRPr="00A6250F" w:rsidTr="003C16B8">
        <w:trPr>
          <w:gridBefore w:val="1"/>
          <w:wBefore w:w="5" w:type="dxa"/>
          <w:tblCellSpacing w:w="15" w:type="dxa"/>
        </w:trPr>
        <w:tc>
          <w:tcPr>
            <w:tcW w:w="8365" w:type="dxa"/>
            <w:tcMar>
              <w:top w:w="15" w:type="dxa"/>
              <w:left w:w="240" w:type="dxa"/>
              <w:bottom w:w="15" w:type="dxa"/>
              <w:right w:w="15" w:type="dxa"/>
            </w:tcMar>
            <w:vAlign w:val="center"/>
          </w:tcPr>
          <w:p w:rsidR="00C46A85" w:rsidRPr="00A6250F" w:rsidRDefault="00C46A85" w:rsidP="00CF19A8">
            <w:pPr>
              <w:jc w:val="both"/>
              <w:rPr>
                <w:lang w:val="hu-HU"/>
              </w:rPr>
            </w:pPr>
            <w:r w:rsidRPr="00A6250F">
              <w:rPr>
                <w:lang w:val="hu-HU"/>
              </w:rPr>
              <w:t xml:space="preserve">10 kredit, gyakorlat, kötelező, nem ismételhető </w:t>
            </w:r>
          </w:p>
          <w:p w:rsidR="00C46A85" w:rsidRPr="00A6250F" w:rsidRDefault="00C46A85" w:rsidP="00CF19A8">
            <w:pPr>
              <w:jc w:val="both"/>
              <w:rPr>
                <w:lang w:val="hu-HU"/>
              </w:rPr>
            </w:pPr>
          </w:p>
          <w:p w:rsidR="00C46A85" w:rsidRPr="00A6250F" w:rsidRDefault="00C46A85" w:rsidP="00866B8C">
            <w:pPr>
              <w:rPr>
                <w:lang w:val="hu-HU"/>
              </w:rPr>
            </w:pPr>
            <w:r w:rsidRPr="00A6250F">
              <w:rPr>
                <w:lang w:val="hu-HU"/>
              </w:rPr>
              <w:t>A tantárgy második tanegysége néhány fontos mai vallástudományi iskola, módszer, illetve személyiség munkásságának áttekintésére összpontosít jelentősebb mennyiségű szöveg átolvasásán alapuló közös munkával. A graduális bevezetésekhez képest, amelyek általában a klasszikus vallástudományi iskolákat mutatják be, ez a kurzus inkább a kortárs megközelítésmódokat vizsgálja, de a szükséges mértékben a maguk történeti távlatában. Más szóval: a tanegység körül kívánja járni a jelenlegi vallástudományi diskurzust jelentősen befolyásoló újszerű megközelítésmódokat, illetve ezek történeti gyökereit. A tanegység nyitott a vallástudományban fölmerülő újabb fejleményekre.</w:t>
            </w:r>
          </w:p>
          <w:p w:rsidR="00C46A85" w:rsidRPr="00A6250F" w:rsidRDefault="00C46A85" w:rsidP="00866B8C">
            <w:pPr>
              <w:rPr>
                <w:lang w:val="hu-HU"/>
              </w:rPr>
            </w:pPr>
          </w:p>
          <w:p w:rsidR="00C46A85" w:rsidRPr="00A6250F" w:rsidRDefault="00C46A85" w:rsidP="00866B8C">
            <w:pPr>
              <w:rPr>
                <w:lang w:val="hu-HU"/>
              </w:rPr>
            </w:pPr>
            <w:r w:rsidRPr="00A6250F">
              <w:rPr>
                <w:lang w:val="hu-HU"/>
              </w:rPr>
              <w:t xml:space="preserve">A </w:t>
            </w:r>
            <w:r w:rsidRPr="00A6250F">
              <w:rPr>
                <w:bCs/>
                <w:i/>
              </w:rPr>
              <w:t>Vallástudományi iskolák 2.</w:t>
            </w:r>
            <w:r w:rsidRPr="00A6250F">
              <w:rPr>
                <w:b/>
                <w:bCs/>
              </w:rPr>
              <w:t xml:space="preserve"> </w:t>
            </w:r>
            <w:r w:rsidRPr="00A6250F">
              <w:rPr>
                <w:lang w:val="hu-HU"/>
              </w:rPr>
              <w:t xml:space="preserve">kurzusok során vizsgált lehetséges témák (zárójelben a kötelező szakirodalom) a mai állapot szerint: </w:t>
            </w:r>
          </w:p>
          <w:p w:rsidR="00C46A85" w:rsidRPr="00A6250F" w:rsidRDefault="00C46A85" w:rsidP="00866B8C">
            <w:pPr>
              <w:rPr>
                <w:lang w:val="hu-HU"/>
              </w:rPr>
            </w:pPr>
            <w:r w:rsidRPr="00A6250F">
              <w:rPr>
                <w:lang w:val="hu-HU"/>
              </w:rPr>
              <w:t>1. A vallás és az emberi agy: a vallás kognitív megközelítése (Martin 2005, Jensen 2009).</w:t>
            </w:r>
          </w:p>
          <w:p w:rsidR="00C46A85" w:rsidRPr="00A6250F" w:rsidRDefault="00C46A85" w:rsidP="00866B8C">
            <w:pPr>
              <w:rPr>
                <w:lang w:val="hu-HU"/>
              </w:rPr>
            </w:pPr>
            <w:r w:rsidRPr="00A6250F">
              <w:rPr>
                <w:lang w:val="hu-HU"/>
              </w:rPr>
              <w:t>2. Feminizmus, gender, vallás (Juschka 2005, Strenski 2015a).</w:t>
            </w:r>
          </w:p>
          <w:p w:rsidR="00C46A85" w:rsidRPr="00A6250F" w:rsidRDefault="00C46A85" w:rsidP="00866B8C">
            <w:pPr>
              <w:rPr>
                <w:lang w:val="hu-HU"/>
              </w:rPr>
            </w:pPr>
            <w:r w:rsidRPr="00A6250F">
              <w:rPr>
                <w:lang w:val="hu-HU"/>
              </w:rPr>
              <w:t>3. Evolúció, ateizmus, vallás (Geertz 2009, Bulbulia 2009).</w:t>
            </w:r>
          </w:p>
          <w:p w:rsidR="00C46A85" w:rsidRPr="00A6250F" w:rsidRDefault="00C46A85" w:rsidP="00866B8C">
            <w:pPr>
              <w:rPr>
                <w:lang w:val="hu-HU"/>
              </w:rPr>
            </w:pPr>
            <w:r w:rsidRPr="00A6250F">
              <w:rPr>
                <w:lang w:val="hu-HU"/>
              </w:rPr>
              <w:t>4. Posztkoloniális valláselméletek (Strenski 2015b).</w:t>
            </w:r>
          </w:p>
          <w:p w:rsidR="00C46A85" w:rsidRPr="00A6250F" w:rsidRDefault="00C46A85" w:rsidP="00866B8C">
            <w:pPr>
              <w:rPr>
                <w:lang w:val="hu-HU"/>
              </w:rPr>
            </w:pPr>
          </w:p>
          <w:p w:rsidR="00C46A85" w:rsidRPr="00A6250F" w:rsidRDefault="00C46A85" w:rsidP="007B3277">
            <w:pPr>
              <w:rPr>
                <w:lang w:val="en-GB"/>
              </w:rPr>
            </w:pPr>
            <w:r w:rsidRPr="00A6250F">
              <w:rPr>
                <w:lang w:val="en-GB"/>
              </w:rPr>
              <w:t>The second course-unit of the subject focuses on surveying some of the most important contemporary schools of the study of religions, such methods, as well as individual scholars through reading a large number of primary texts and group work. As opposed to graduate courses, which focus on prior achievements of the schools of the study of religion this course-unit will introduce contemporary methods but with regard to their own historical depth. In other words: the course-unit aims to examine the roots of the newest contemporary schools of the study of religion, their respective methods, and their historical roots. The course-unit is open to new methods in the field.</w:t>
            </w:r>
          </w:p>
          <w:p w:rsidR="00C46A85" w:rsidRPr="00A6250F" w:rsidRDefault="00C46A85" w:rsidP="007B3277">
            <w:pPr>
              <w:rPr>
                <w:lang w:val="en-GB"/>
              </w:rPr>
            </w:pPr>
          </w:p>
          <w:p w:rsidR="00C46A85" w:rsidRPr="00A6250F" w:rsidRDefault="00C46A85" w:rsidP="007B3277">
            <w:pPr>
              <w:rPr>
                <w:lang w:val="en-GB"/>
              </w:rPr>
            </w:pPr>
            <w:r w:rsidRPr="00A6250F">
              <w:rPr>
                <w:lang w:val="en-GB"/>
              </w:rPr>
              <w:t xml:space="preserve">Possible subjects of the </w:t>
            </w:r>
            <w:r w:rsidRPr="00A6250F">
              <w:rPr>
                <w:i/>
                <w:lang w:val="en-GB"/>
              </w:rPr>
              <w:t>Schools of the Study of Religion 2</w:t>
            </w:r>
            <w:r w:rsidRPr="00A6250F">
              <w:rPr>
                <w:lang w:val="en-GB"/>
              </w:rPr>
              <w:t xml:space="preserve"> course-unit (compulsory secondary literature listed in parenthesis):</w:t>
            </w:r>
          </w:p>
          <w:p w:rsidR="00C46A85" w:rsidRPr="00A6250F" w:rsidRDefault="00C46A85" w:rsidP="007B3277">
            <w:pPr>
              <w:rPr>
                <w:lang w:val="en-GB"/>
              </w:rPr>
            </w:pPr>
            <w:r w:rsidRPr="00A6250F">
              <w:rPr>
                <w:lang w:val="en-GB"/>
              </w:rPr>
              <w:t>1. Religion and the human brain: a cognitive approach to religion (Martin 2005, Jensen 2009).</w:t>
            </w:r>
          </w:p>
          <w:p w:rsidR="00C46A85" w:rsidRPr="00A6250F" w:rsidRDefault="00C46A85" w:rsidP="007B3277">
            <w:pPr>
              <w:rPr>
                <w:lang w:val="en-GB"/>
              </w:rPr>
            </w:pPr>
            <w:r w:rsidRPr="00A6250F">
              <w:rPr>
                <w:lang w:val="en-GB"/>
              </w:rPr>
              <w:t>2. Feminism, gender, religion (Juschka 2005, Strenski 2015a).</w:t>
            </w:r>
          </w:p>
          <w:p w:rsidR="00C46A85" w:rsidRPr="00A6250F" w:rsidRDefault="00C46A85" w:rsidP="007B3277">
            <w:pPr>
              <w:rPr>
                <w:lang w:val="en-GB"/>
              </w:rPr>
            </w:pPr>
            <w:r w:rsidRPr="00A6250F">
              <w:rPr>
                <w:lang w:val="en-GB"/>
              </w:rPr>
              <w:t>3. Evolution, atheism, religion (Geertz 2009, Bulbulia 2009).</w:t>
            </w:r>
          </w:p>
          <w:p w:rsidR="00C46A85" w:rsidRPr="00A6250F" w:rsidRDefault="00C46A85" w:rsidP="007B3277">
            <w:pPr>
              <w:rPr>
                <w:lang w:val="en-GB"/>
              </w:rPr>
            </w:pPr>
            <w:r w:rsidRPr="00A6250F">
              <w:rPr>
                <w:lang w:val="en-GB"/>
              </w:rPr>
              <w:t>4. Postcolonial theories of religion (Strenski 2015b).</w:t>
            </w:r>
          </w:p>
          <w:p w:rsidR="00C46A85" w:rsidRPr="00A6250F" w:rsidRDefault="00C46A85" w:rsidP="007B3277">
            <w:pPr>
              <w:rPr>
                <w:lang w:val="en-GB"/>
              </w:rPr>
            </w:pPr>
          </w:p>
          <w:p w:rsidR="00C46A85" w:rsidRPr="00A6250F" w:rsidRDefault="00C46A85" w:rsidP="007B3277">
            <w:pPr>
              <w:rPr>
                <w:lang w:val="hu-HU"/>
              </w:rPr>
            </w:pPr>
            <w:r w:rsidRPr="00A6250F">
              <w:rPr>
                <w:lang w:val="hu-HU"/>
              </w:rPr>
              <w:t>Kötelező szakirodalom:</w:t>
            </w:r>
          </w:p>
          <w:p w:rsidR="00C46A85" w:rsidRPr="00A6250F" w:rsidRDefault="00C46A85" w:rsidP="007B3277">
            <w:pPr>
              <w:rPr>
                <w:lang w:val="en-GB"/>
              </w:rPr>
            </w:pPr>
            <w:r w:rsidRPr="00A6250F">
              <w:rPr>
                <w:lang w:val="en-GB"/>
              </w:rPr>
              <w:t>Compulsory secondary literature:</w:t>
            </w:r>
          </w:p>
          <w:p w:rsidR="00C46A85" w:rsidRPr="00A6250F" w:rsidRDefault="00C46A85" w:rsidP="00866B8C">
            <w:pPr>
              <w:rPr>
                <w:lang w:val="hu-HU"/>
              </w:rPr>
            </w:pPr>
          </w:p>
          <w:p w:rsidR="00C46A85" w:rsidRPr="00A6250F" w:rsidRDefault="00C46A85" w:rsidP="00866B8C">
            <w:pPr>
              <w:numPr>
                <w:ilvl w:val="0"/>
                <w:numId w:val="6"/>
              </w:numPr>
              <w:autoSpaceDE w:val="0"/>
              <w:autoSpaceDN w:val="0"/>
              <w:adjustRightInd w:val="0"/>
              <w:rPr>
                <w:lang w:val="hu-HU"/>
              </w:rPr>
            </w:pPr>
            <w:r w:rsidRPr="00A6250F">
              <w:rPr>
                <w:lang w:val="hu-HU"/>
              </w:rPr>
              <w:t xml:space="preserve">Bulbulia, Joseph 2009. „Religion as evolutionary cascade: on Scott Atran, </w:t>
            </w:r>
            <w:r w:rsidRPr="00A6250F">
              <w:rPr>
                <w:i/>
                <w:iCs/>
                <w:lang w:val="hu-HU"/>
              </w:rPr>
              <w:t>In gods we trust</w:t>
            </w:r>
            <w:r w:rsidRPr="00A6250F">
              <w:rPr>
                <w:lang w:val="hu-HU"/>
              </w:rPr>
              <w:t xml:space="preserve"> (2002).” In: Michael Stausberg (ed.) </w:t>
            </w:r>
            <w:r w:rsidRPr="00A6250F">
              <w:rPr>
                <w:i/>
                <w:iCs/>
                <w:lang w:val="hu-HU"/>
              </w:rPr>
              <w:t>Contemporary Theories of Religion. A critical companion.</w:t>
            </w:r>
            <w:r w:rsidRPr="00A6250F">
              <w:rPr>
                <w:lang w:val="hu-HU"/>
              </w:rPr>
              <w:t xml:space="preserve"> London and New York: Routledge, 129‒155.</w:t>
            </w:r>
          </w:p>
          <w:p w:rsidR="00C46A85" w:rsidRPr="00A6250F" w:rsidRDefault="00C46A85" w:rsidP="00866B8C">
            <w:pPr>
              <w:numPr>
                <w:ilvl w:val="0"/>
                <w:numId w:val="6"/>
              </w:numPr>
              <w:autoSpaceDE w:val="0"/>
              <w:autoSpaceDN w:val="0"/>
              <w:adjustRightInd w:val="0"/>
              <w:rPr>
                <w:lang w:val="hu-HU"/>
              </w:rPr>
            </w:pPr>
            <w:r w:rsidRPr="00A6250F">
              <w:rPr>
                <w:lang w:val="hu-HU"/>
              </w:rPr>
              <w:t>Geertz, Armin W. 200</w:t>
            </w:r>
            <w:r w:rsidRPr="00A6250F">
              <w:rPr>
                <w:lang w:val="hu-HU" w:eastAsia="zh-CN"/>
              </w:rPr>
              <w:t>9. „New Atheistic appr</w:t>
            </w:r>
            <w:r w:rsidRPr="00A6250F">
              <w:rPr>
                <w:lang w:val="hu-HU"/>
              </w:rPr>
              <w:t>o</w:t>
            </w:r>
            <w:r w:rsidRPr="00A6250F">
              <w:rPr>
                <w:lang w:val="hu-HU" w:eastAsia="zh-CN"/>
              </w:rPr>
              <w:t>aches</w:t>
            </w:r>
            <w:r w:rsidRPr="00A6250F">
              <w:rPr>
                <w:lang w:val="hu-HU"/>
              </w:rPr>
              <w:t xml:space="preserve"> in the cognitive scien</w:t>
            </w:r>
            <w:r w:rsidRPr="00A6250F">
              <w:rPr>
                <w:i/>
                <w:iCs/>
                <w:lang w:val="hu-HU"/>
              </w:rPr>
              <w:t>ce of religion: on Daniel Dennett, Breaking the s</w:t>
            </w:r>
            <w:r w:rsidRPr="00A6250F">
              <w:rPr>
                <w:lang w:val="hu-HU"/>
              </w:rPr>
              <w:t>pell (2006) and Richard Dawkins, Th</w:t>
            </w:r>
            <w:r w:rsidRPr="00A6250F">
              <w:rPr>
                <w:lang w:val="hu-HU" w:eastAsia="zh-CN"/>
              </w:rPr>
              <w:t>e God de</w:t>
            </w:r>
            <w:r w:rsidRPr="00A6250F">
              <w:rPr>
                <w:lang w:val="hu-HU"/>
              </w:rPr>
              <w:t xml:space="preserve">lusion (2006).” In: Michael Stausberg (ed.) </w:t>
            </w:r>
            <w:r w:rsidRPr="00A6250F">
              <w:rPr>
                <w:i/>
                <w:iCs/>
                <w:lang w:val="hu-HU"/>
              </w:rPr>
              <w:t xml:space="preserve">Contemporary Theories of Religion. A critical companion. </w:t>
            </w:r>
            <w:r w:rsidRPr="00A6250F">
              <w:rPr>
                <w:lang w:val="hu-HU"/>
              </w:rPr>
              <w:t>London and New York: Routledge, 242‒263.</w:t>
            </w:r>
          </w:p>
          <w:p w:rsidR="00C46A85" w:rsidRPr="00A6250F" w:rsidRDefault="00C46A85" w:rsidP="00866B8C">
            <w:pPr>
              <w:numPr>
                <w:ilvl w:val="0"/>
                <w:numId w:val="6"/>
              </w:numPr>
              <w:autoSpaceDE w:val="0"/>
              <w:autoSpaceDN w:val="0"/>
              <w:adjustRightInd w:val="0"/>
              <w:rPr>
                <w:lang w:val="hu-HU"/>
              </w:rPr>
            </w:pPr>
            <w:r w:rsidRPr="00A6250F">
              <w:rPr>
                <w:lang w:val="hu-HU"/>
              </w:rPr>
              <w:t>Jensen, Jeppe Sinding 2009. „Religion as the unintended product o</w:t>
            </w:r>
            <w:r w:rsidRPr="00A6250F">
              <w:rPr>
                <w:i/>
                <w:iCs/>
                <w:lang w:val="hu-HU"/>
              </w:rPr>
              <w:t xml:space="preserve">f brain functions in the ‘standard cognitive science </w:t>
            </w:r>
            <w:r w:rsidRPr="00A6250F">
              <w:rPr>
                <w:iCs/>
                <w:lang w:val="hu-HU"/>
              </w:rPr>
              <w:t>of r</w:t>
            </w:r>
            <w:r w:rsidRPr="00A6250F">
              <w:rPr>
                <w:lang w:val="hu-HU"/>
              </w:rPr>
              <w:t xml:space="preserve">eligion model’: on Pascal Boyer, </w:t>
            </w:r>
            <w:r w:rsidRPr="00A6250F">
              <w:rPr>
                <w:i/>
                <w:iCs/>
                <w:lang w:val="hu-HU"/>
              </w:rPr>
              <w:t>Religion explained</w:t>
            </w:r>
            <w:r w:rsidRPr="00A6250F">
              <w:rPr>
                <w:lang w:val="hu-HU"/>
              </w:rPr>
              <w:t xml:space="preserve"> (2001) and Ilkka Pyysiäinen, </w:t>
            </w:r>
            <w:r w:rsidRPr="00A6250F">
              <w:rPr>
                <w:i/>
                <w:iCs/>
                <w:lang w:val="hu-HU"/>
              </w:rPr>
              <w:t>How religion works</w:t>
            </w:r>
            <w:r w:rsidRPr="00A6250F">
              <w:rPr>
                <w:lang w:val="hu-HU"/>
              </w:rPr>
              <w:t xml:space="preserve"> (2003).” In: Michael Stausberg (ed.) </w:t>
            </w:r>
            <w:r w:rsidRPr="00A6250F">
              <w:rPr>
                <w:i/>
                <w:iCs/>
                <w:lang w:val="hu-HU"/>
              </w:rPr>
              <w:t>Contemporary Theories of Religion. A critical companion.</w:t>
            </w:r>
            <w:r w:rsidRPr="00A6250F">
              <w:rPr>
                <w:lang w:val="hu-HU"/>
              </w:rPr>
              <w:t xml:space="preserve"> London and New York: Routledge, 129‒155.</w:t>
            </w:r>
          </w:p>
          <w:p w:rsidR="00C46A85" w:rsidRPr="00A6250F" w:rsidRDefault="00C46A85" w:rsidP="00866B8C">
            <w:pPr>
              <w:numPr>
                <w:ilvl w:val="0"/>
                <w:numId w:val="6"/>
              </w:numPr>
              <w:autoSpaceDE w:val="0"/>
              <w:autoSpaceDN w:val="0"/>
              <w:adjustRightInd w:val="0"/>
              <w:rPr>
                <w:lang w:val="hu-HU"/>
              </w:rPr>
            </w:pPr>
            <w:r w:rsidRPr="00A6250F">
              <w:rPr>
                <w:lang w:val="hu-HU"/>
              </w:rPr>
              <w:t xml:space="preserve">Juschka, Darlene M. 2005. „Gender.” In: John R. Hinnells (ed.) </w:t>
            </w:r>
            <w:r w:rsidRPr="00A6250F">
              <w:rPr>
                <w:i/>
                <w:iCs/>
                <w:lang w:val="hu-HU"/>
              </w:rPr>
              <w:t>The Routledge Companion to the Study of Religion</w:t>
            </w:r>
            <w:r w:rsidRPr="00A6250F">
              <w:rPr>
                <w:lang w:val="hu-HU"/>
              </w:rPr>
              <w:t xml:space="preserve"> (Routledge Religion Companions). London and New York: Routledge, 229‒241.</w:t>
            </w:r>
          </w:p>
          <w:p w:rsidR="00C46A85" w:rsidRPr="00A6250F" w:rsidRDefault="00C46A85" w:rsidP="00866B8C">
            <w:pPr>
              <w:numPr>
                <w:ilvl w:val="0"/>
                <w:numId w:val="6"/>
              </w:numPr>
              <w:autoSpaceDE w:val="0"/>
              <w:autoSpaceDN w:val="0"/>
              <w:adjustRightInd w:val="0"/>
              <w:rPr>
                <w:lang w:val="hu-HU"/>
              </w:rPr>
            </w:pPr>
            <w:r w:rsidRPr="00A6250F">
              <w:rPr>
                <w:lang w:val="hu-HU"/>
              </w:rPr>
              <w:t xml:space="preserve">Martin, Luther H. 2005. „Religion and cognition.” In: John R. Hinnells (ed.) </w:t>
            </w:r>
            <w:r w:rsidRPr="00A6250F">
              <w:rPr>
                <w:i/>
                <w:iCs/>
                <w:lang w:val="hu-HU"/>
              </w:rPr>
              <w:t>The Routledge Companion to the Study of Religion</w:t>
            </w:r>
            <w:r w:rsidRPr="00A6250F">
              <w:rPr>
                <w:lang w:val="hu-HU"/>
              </w:rPr>
              <w:t xml:space="preserve"> (Routledge Religion Companions). London and New York: Routledge, 473‒487. </w:t>
            </w:r>
          </w:p>
          <w:p w:rsidR="00C46A85" w:rsidRPr="00A6250F" w:rsidRDefault="00C46A85" w:rsidP="00866B8C">
            <w:pPr>
              <w:numPr>
                <w:ilvl w:val="0"/>
                <w:numId w:val="6"/>
              </w:numPr>
              <w:autoSpaceDE w:val="0"/>
              <w:autoSpaceDN w:val="0"/>
              <w:adjustRightInd w:val="0"/>
              <w:rPr>
                <w:lang w:val="hu-HU"/>
              </w:rPr>
            </w:pPr>
            <w:r w:rsidRPr="00A6250F">
              <w:rPr>
                <w:lang w:val="hu-HU"/>
              </w:rPr>
              <w:t>Strenski, Ivan 2015a</w:t>
            </w:r>
            <w:r w:rsidRPr="00A6250F">
              <w:rPr>
                <w:vertAlign w:val="superscript"/>
                <w:lang w:val="hu-HU"/>
              </w:rPr>
              <w:t>2</w:t>
            </w:r>
            <w:r w:rsidRPr="00A6250F">
              <w:rPr>
                <w:lang w:val="hu-HU"/>
              </w:rPr>
              <w:t xml:space="preserve">. „Sex/Gender and Women: Feminists Theorizing Religion.” In: </w:t>
            </w:r>
            <w:r w:rsidRPr="00A6250F">
              <w:rPr>
                <w:i/>
                <w:iCs/>
                <w:lang w:val="hu-HU"/>
              </w:rPr>
              <w:t>Understanding Theories of Religion.</w:t>
            </w:r>
            <w:r w:rsidRPr="00A6250F">
              <w:rPr>
                <w:lang w:val="hu-HU"/>
              </w:rPr>
              <w:t xml:space="preserve"> </w:t>
            </w:r>
            <w:r w:rsidRPr="00A6250F">
              <w:rPr>
                <w:i/>
                <w:iCs/>
                <w:lang w:val="hu-HU"/>
              </w:rPr>
              <w:t>An Introduction.</w:t>
            </w:r>
            <w:r w:rsidRPr="00A6250F">
              <w:rPr>
                <w:lang w:val="hu-HU"/>
              </w:rPr>
              <w:t xml:space="preserve"> Oxford: Blackwell Publishing Ltd, 189‒215.</w:t>
            </w:r>
          </w:p>
          <w:p w:rsidR="00C46A85" w:rsidRPr="00A6250F" w:rsidRDefault="00C46A85" w:rsidP="00866B8C">
            <w:pPr>
              <w:numPr>
                <w:ilvl w:val="0"/>
                <w:numId w:val="6"/>
              </w:numPr>
              <w:rPr>
                <w:lang w:val="hu-HU"/>
              </w:rPr>
            </w:pPr>
            <w:r w:rsidRPr="00A6250F">
              <w:rPr>
                <w:lang w:val="hu-HU"/>
              </w:rPr>
              <w:t>Strenski, Ivan 2015b</w:t>
            </w:r>
            <w:r w:rsidRPr="00A6250F">
              <w:rPr>
                <w:vertAlign w:val="superscript"/>
                <w:lang w:val="hu-HU"/>
              </w:rPr>
              <w:t>2</w:t>
            </w:r>
            <w:r w:rsidRPr="00A6250F">
              <w:rPr>
                <w:lang w:val="hu-HU"/>
              </w:rPr>
              <w:t xml:space="preserve">. „Another ʻOtherness’: Post-Colonial Theories of Religion.” In: </w:t>
            </w:r>
            <w:r w:rsidRPr="00A6250F">
              <w:rPr>
                <w:i/>
                <w:iCs/>
                <w:lang w:val="hu-HU"/>
              </w:rPr>
              <w:t>Understanding Theories of Religion.</w:t>
            </w:r>
            <w:r w:rsidRPr="00A6250F">
              <w:rPr>
                <w:lang w:val="hu-HU"/>
              </w:rPr>
              <w:t xml:space="preserve"> </w:t>
            </w:r>
            <w:r w:rsidRPr="00A6250F">
              <w:rPr>
                <w:i/>
                <w:iCs/>
                <w:lang w:val="hu-HU"/>
              </w:rPr>
              <w:t>An Introduction.</w:t>
            </w:r>
            <w:r w:rsidRPr="00A6250F">
              <w:rPr>
                <w:lang w:val="hu-HU"/>
              </w:rPr>
              <w:t xml:space="preserve"> Oxford: Blackwell Publishing Ltd, 216‒240.</w:t>
            </w:r>
          </w:p>
          <w:p w:rsidR="00C46A85" w:rsidRPr="00A6250F" w:rsidRDefault="00C46A85" w:rsidP="00866B8C">
            <w:pPr>
              <w:rPr>
                <w:lang w:val="hu-HU" w:eastAsia="zh-CN"/>
              </w:rPr>
            </w:pPr>
          </w:p>
          <w:p w:rsidR="00C46A85" w:rsidRPr="00A6250F" w:rsidRDefault="00C46A85" w:rsidP="00866B8C">
            <w:pPr>
              <w:rPr>
                <w:lang w:val="hu-HU"/>
              </w:rPr>
            </w:pPr>
            <w:r w:rsidRPr="00A6250F">
              <w:rPr>
                <w:lang w:val="hu-HU"/>
              </w:rPr>
              <w:t>Ajánlott szakirodalom:</w:t>
            </w:r>
          </w:p>
          <w:p w:rsidR="00C46A85" w:rsidRPr="00A6250F" w:rsidRDefault="00C46A85" w:rsidP="007B3277">
            <w:pPr>
              <w:rPr>
                <w:lang w:val="en-GB"/>
              </w:rPr>
            </w:pPr>
            <w:r w:rsidRPr="00A6250F">
              <w:rPr>
                <w:lang w:val="en-GB"/>
              </w:rPr>
              <w:t>Recommended secondary literature:</w:t>
            </w:r>
          </w:p>
          <w:p w:rsidR="00C46A85" w:rsidRPr="00A6250F" w:rsidRDefault="00C46A85" w:rsidP="00866B8C">
            <w:pPr>
              <w:rPr>
                <w:lang w:val="hu-HU"/>
              </w:rPr>
            </w:pPr>
          </w:p>
          <w:p w:rsidR="00C46A85" w:rsidRPr="00A6250F" w:rsidRDefault="00C46A85" w:rsidP="0080327C">
            <w:pPr>
              <w:ind w:left="360"/>
              <w:rPr>
                <w:lang w:val="hu-HU"/>
              </w:rPr>
            </w:pPr>
            <w:r>
              <w:rPr>
                <w:lang w:val="hu-HU"/>
              </w:rPr>
              <w:t xml:space="preserve">1    </w:t>
            </w:r>
            <w:r w:rsidRPr="00A6250F">
              <w:rPr>
                <w:lang w:val="hu-HU"/>
              </w:rPr>
              <w:t xml:space="preserve">Atran, Scott 2002. </w:t>
            </w:r>
            <w:r w:rsidRPr="00A6250F">
              <w:rPr>
                <w:i/>
                <w:iCs/>
                <w:lang w:val="hu-HU"/>
              </w:rPr>
              <w:t xml:space="preserve">In Gods We Trust. The Evolutionary Landscape of </w:t>
            </w:r>
            <w:r>
              <w:rPr>
                <w:i/>
                <w:iCs/>
                <w:lang w:val="hu-HU"/>
              </w:rPr>
              <w:t xml:space="preserve">   </w:t>
            </w:r>
            <w:r w:rsidRPr="00A6250F">
              <w:rPr>
                <w:i/>
                <w:iCs/>
                <w:lang w:val="hu-HU"/>
              </w:rPr>
              <w:t>Religion.</w:t>
            </w:r>
            <w:r w:rsidRPr="00A6250F">
              <w:rPr>
                <w:lang w:val="hu-HU"/>
              </w:rPr>
              <w:t xml:space="preserve"> Oxford: Oxford University Press.</w:t>
            </w:r>
          </w:p>
          <w:p w:rsidR="00C46A85" w:rsidRPr="00A6250F" w:rsidRDefault="00C46A85" w:rsidP="00866B8C">
            <w:pPr>
              <w:numPr>
                <w:ilvl w:val="0"/>
                <w:numId w:val="5"/>
              </w:numPr>
              <w:rPr>
                <w:lang w:val="hu-HU"/>
              </w:rPr>
            </w:pPr>
            <w:r w:rsidRPr="00A6250F">
              <w:rPr>
                <w:lang w:val="hu-HU"/>
              </w:rPr>
              <w:t xml:space="preserve">Boyer, Pascal 2001. </w:t>
            </w:r>
            <w:r w:rsidRPr="00A6250F">
              <w:rPr>
                <w:i/>
                <w:iCs/>
                <w:lang w:val="hu-HU"/>
              </w:rPr>
              <w:t xml:space="preserve">Religion explained: The evolutionary origins of religious thought. </w:t>
            </w:r>
            <w:r w:rsidRPr="00A6250F">
              <w:rPr>
                <w:lang w:val="hu-HU"/>
              </w:rPr>
              <w:t>New York: Basic Books.</w:t>
            </w:r>
          </w:p>
          <w:p w:rsidR="00C46A85" w:rsidRPr="00A6250F" w:rsidRDefault="00C46A85" w:rsidP="00866B8C">
            <w:pPr>
              <w:numPr>
                <w:ilvl w:val="0"/>
                <w:numId w:val="5"/>
              </w:numPr>
              <w:rPr>
                <w:lang w:val="hu-HU"/>
              </w:rPr>
            </w:pPr>
            <w:r w:rsidRPr="00A6250F">
              <w:rPr>
                <w:lang w:val="hu-HU"/>
              </w:rPr>
              <w:t xml:space="preserve">Dennett, Daniel C. 2006. </w:t>
            </w:r>
            <w:r w:rsidRPr="00A6250F">
              <w:rPr>
                <w:i/>
                <w:iCs/>
                <w:lang w:val="hu-HU"/>
              </w:rPr>
              <w:t>Breaking the Spell ‒ Religion as a Natural Phenomenon.</w:t>
            </w:r>
            <w:r w:rsidRPr="00A6250F">
              <w:rPr>
                <w:lang w:val="hu-HU"/>
              </w:rPr>
              <w:t xml:space="preserve"> New York: Penguin.</w:t>
            </w:r>
          </w:p>
          <w:p w:rsidR="00C46A85" w:rsidRPr="00A6250F" w:rsidRDefault="00C46A85" w:rsidP="00866B8C">
            <w:pPr>
              <w:numPr>
                <w:ilvl w:val="0"/>
                <w:numId w:val="5"/>
              </w:numPr>
              <w:rPr>
                <w:lang w:val="hu-HU"/>
              </w:rPr>
            </w:pPr>
            <w:r w:rsidRPr="00A6250F">
              <w:rPr>
                <w:lang w:val="hu-HU"/>
              </w:rPr>
              <w:t xml:space="preserve">Dawkins, Richard 2006. </w:t>
            </w:r>
            <w:r w:rsidRPr="00A6250F">
              <w:rPr>
                <w:i/>
                <w:iCs/>
                <w:lang w:val="hu-HU"/>
              </w:rPr>
              <w:t>The God Delusion.</w:t>
            </w:r>
            <w:r w:rsidRPr="00A6250F">
              <w:rPr>
                <w:lang w:val="hu-HU"/>
              </w:rPr>
              <w:t xml:space="preserve"> London: Bantam Press.</w:t>
            </w:r>
          </w:p>
          <w:p w:rsidR="00C46A85" w:rsidRPr="00A6250F" w:rsidRDefault="00C46A85" w:rsidP="00866B8C">
            <w:pPr>
              <w:numPr>
                <w:ilvl w:val="0"/>
                <w:numId w:val="5"/>
              </w:numPr>
              <w:rPr>
                <w:lang w:val="hu-HU"/>
              </w:rPr>
            </w:pPr>
            <w:r w:rsidRPr="00A6250F">
              <w:rPr>
                <w:lang w:val="hu-HU"/>
              </w:rPr>
              <w:t xml:space="preserve">Geertz, Armin W. 2008. „How </w:t>
            </w:r>
            <w:r w:rsidRPr="00A6250F">
              <w:rPr>
                <w:i/>
                <w:iCs/>
                <w:lang w:val="hu-HU"/>
              </w:rPr>
              <w:t>Not</w:t>
            </w:r>
            <w:r w:rsidRPr="00A6250F">
              <w:rPr>
                <w:lang w:val="hu-HU"/>
              </w:rPr>
              <w:t xml:space="preserve"> to Do the Cognitive Science of Religion Today.” </w:t>
            </w:r>
            <w:r w:rsidRPr="00A6250F">
              <w:rPr>
                <w:rFonts w:eastAsia="SabonLTStd-Roman"/>
                <w:i/>
                <w:iCs/>
                <w:lang w:val="hu-HU" w:eastAsia="zh-CN"/>
              </w:rPr>
              <w:t xml:space="preserve">Method &amp; Theory in the Study of Religion </w:t>
            </w:r>
            <w:r w:rsidRPr="00A6250F">
              <w:rPr>
                <w:rFonts w:eastAsia="SabonLTStd-Roman"/>
                <w:lang w:val="hu-HU" w:eastAsia="zh-CN"/>
              </w:rPr>
              <w:t>20: 7‒21.</w:t>
            </w:r>
          </w:p>
          <w:p w:rsidR="00C46A85" w:rsidRPr="00A6250F" w:rsidRDefault="00C46A85" w:rsidP="00866B8C">
            <w:pPr>
              <w:numPr>
                <w:ilvl w:val="0"/>
                <w:numId w:val="5"/>
              </w:numPr>
              <w:rPr>
                <w:lang w:val="hu-HU"/>
              </w:rPr>
            </w:pPr>
            <w:r w:rsidRPr="00A6250F">
              <w:rPr>
                <w:rFonts w:eastAsia="SabonLTStd-Roman"/>
                <w:lang w:val="hu-HU" w:eastAsia="zh-CN"/>
              </w:rPr>
              <w:t xml:space="preserve">Lakoff, George, and Johnson, Mark 1989. </w:t>
            </w:r>
            <w:r w:rsidRPr="00A6250F">
              <w:rPr>
                <w:rFonts w:eastAsia="SabonLTStd-Roman"/>
                <w:i/>
                <w:iCs/>
                <w:lang w:val="hu-HU" w:eastAsia="zh-CN"/>
              </w:rPr>
              <w:t>Philosophy in the flesh</w:t>
            </w:r>
            <w:r w:rsidRPr="00A6250F">
              <w:rPr>
                <w:rFonts w:eastAsia="SabonLTStd-Roman"/>
                <w:lang w:val="hu-HU" w:eastAsia="zh-CN"/>
              </w:rPr>
              <w:t>. New York: Cambridge University Press.</w:t>
            </w:r>
          </w:p>
          <w:p w:rsidR="00C46A85" w:rsidRPr="00A6250F" w:rsidRDefault="00C46A85" w:rsidP="00866B8C">
            <w:pPr>
              <w:numPr>
                <w:ilvl w:val="0"/>
                <w:numId w:val="5"/>
              </w:numPr>
              <w:rPr>
                <w:lang w:val="hu-HU"/>
              </w:rPr>
            </w:pPr>
            <w:r w:rsidRPr="00A6250F">
              <w:rPr>
                <w:lang w:val="hu-HU"/>
              </w:rPr>
              <w:t xml:space="preserve">McGrath, Alister ‒ McGrath, Joanna C. 2007. </w:t>
            </w:r>
            <w:r w:rsidRPr="00A6250F">
              <w:rPr>
                <w:i/>
                <w:iCs/>
                <w:lang w:val="hu-HU"/>
              </w:rPr>
              <w:t xml:space="preserve">The Dawkins Delusion? Atheist Fundamentalism and the Denial of the Divine. </w:t>
            </w:r>
            <w:r w:rsidRPr="00A6250F">
              <w:rPr>
                <w:lang w:val="hu-HU"/>
              </w:rPr>
              <w:t>InterVarsity Press.</w:t>
            </w:r>
          </w:p>
          <w:p w:rsidR="00C46A85" w:rsidRPr="00A6250F" w:rsidRDefault="00C46A85" w:rsidP="00866B8C">
            <w:pPr>
              <w:numPr>
                <w:ilvl w:val="0"/>
                <w:numId w:val="5"/>
              </w:numPr>
              <w:rPr>
                <w:rFonts w:eastAsia="SabonLTStd-Roman"/>
                <w:lang w:val="hu-HU" w:eastAsia="zh-CN"/>
              </w:rPr>
            </w:pPr>
            <w:r w:rsidRPr="00A6250F">
              <w:rPr>
                <w:rFonts w:eastAsia="SabonLTStd-Roman"/>
                <w:lang w:val="hu-HU" w:eastAsia="zh-CN"/>
              </w:rPr>
              <w:t xml:space="preserve">Orye, Lieve 2007. „A Moratorium on the Cognitive Approach of Religion?” </w:t>
            </w:r>
            <w:r w:rsidRPr="00A6250F">
              <w:rPr>
                <w:rFonts w:eastAsia="SabonLTStd-Roman"/>
                <w:i/>
                <w:iCs/>
                <w:lang w:val="hu-HU" w:eastAsia="zh-CN"/>
              </w:rPr>
              <w:t xml:space="preserve">Method &amp; Theory in the Study of Religion </w:t>
            </w:r>
            <w:r w:rsidRPr="00A6250F">
              <w:rPr>
                <w:rFonts w:eastAsia="SabonLTStd-Roman"/>
                <w:lang w:val="hu-HU" w:eastAsia="zh-CN"/>
              </w:rPr>
              <w:t>19: 1‒37.</w:t>
            </w:r>
          </w:p>
          <w:p w:rsidR="00C46A85" w:rsidRPr="00A6250F" w:rsidRDefault="00C46A85" w:rsidP="00866B8C">
            <w:pPr>
              <w:numPr>
                <w:ilvl w:val="0"/>
                <w:numId w:val="5"/>
              </w:numPr>
              <w:rPr>
                <w:rFonts w:eastAsia="SabonLTStd-Roman"/>
                <w:lang w:val="hu-HU" w:eastAsia="zh-CN"/>
              </w:rPr>
            </w:pPr>
            <w:r w:rsidRPr="00A6250F">
              <w:rPr>
                <w:rFonts w:eastAsia="SabonLTStd-Roman"/>
                <w:lang w:val="hu-HU" w:eastAsia="zh-CN"/>
              </w:rPr>
              <w:t xml:space="preserve">Pyysiäinen, Ilkka 2003a </w:t>
            </w:r>
            <w:r w:rsidRPr="00A6250F">
              <w:rPr>
                <w:rFonts w:eastAsia="SabonLTStd-Roman"/>
                <w:i/>
                <w:iCs/>
                <w:lang w:val="hu-HU" w:eastAsia="zh-CN"/>
              </w:rPr>
              <w:t>How religion works: Towards a new cognitive science of religion.</w:t>
            </w:r>
            <w:r w:rsidRPr="00A6250F">
              <w:rPr>
                <w:rFonts w:eastAsia="SabonLTStd-Roman"/>
                <w:lang w:val="hu-HU" w:eastAsia="zh-CN"/>
              </w:rPr>
              <w:t xml:space="preserve"> Leiden: Brill.</w:t>
            </w:r>
          </w:p>
          <w:p w:rsidR="00C46A85" w:rsidRPr="00A6250F" w:rsidRDefault="00C46A85" w:rsidP="00866B8C">
            <w:pPr>
              <w:numPr>
                <w:ilvl w:val="0"/>
                <w:numId w:val="5"/>
              </w:numPr>
              <w:rPr>
                <w:rFonts w:eastAsia="SabonLTStd-Roman"/>
                <w:lang w:val="hu-HU" w:eastAsia="zh-CN"/>
              </w:rPr>
            </w:pPr>
            <w:r w:rsidRPr="00A6250F">
              <w:rPr>
                <w:rFonts w:eastAsia="SabonLTStd-Roman"/>
                <w:lang w:val="hu-HU" w:eastAsia="zh-CN"/>
              </w:rPr>
              <w:t>Slone, D. Jason (ed.) 2006</w:t>
            </w:r>
            <w:r w:rsidRPr="00A6250F">
              <w:rPr>
                <w:rFonts w:eastAsia="SabonLTStd-Roman"/>
                <w:i/>
                <w:iCs/>
                <w:lang w:val="hu-HU" w:eastAsia="zh-CN"/>
              </w:rPr>
              <w:t>. Religion and cognition: A reader.</w:t>
            </w:r>
            <w:r w:rsidRPr="00A6250F">
              <w:rPr>
                <w:rFonts w:eastAsia="SabonLTStd-Roman"/>
                <w:lang w:val="hu-HU" w:eastAsia="zh-CN"/>
              </w:rPr>
              <w:t xml:space="preserve"> London: Equinox.</w:t>
            </w:r>
          </w:p>
          <w:p w:rsidR="00C46A85" w:rsidRPr="00A6250F" w:rsidRDefault="00C46A85" w:rsidP="00866B8C">
            <w:pPr>
              <w:numPr>
                <w:ilvl w:val="0"/>
                <w:numId w:val="5"/>
              </w:numPr>
              <w:rPr>
                <w:rFonts w:eastAsia="SabonLTStd-Roman"/>
                <w:lang w:val="hu-HU" w:eastAsia="zh-CN"/>
              </w:rPr>
            </w:pPr>
            <w:r w:rsidRPr="00A6250F">
              <w:rPr>
                <w:lang w:val="hu-HU"/>
              </w:rPr>
              <w:t xml:space="preserve">Taylor, Mark C. (ed.) 1998. </w:t>
            </w:r>
            <w:r w:rsidRPr="00A6250F">
              <w:rPr>
                <w:i/>
                <w:iCs/>
                <w:lang w:val="hu-HU"/>
              </w:rPr>
              <w:t>Critical Terms for Religious Studies.</w:t>
            </w:r>
            <w:r w:rsidRPr="00A6250F">
              <w:rPr>
                <w:lang w:val="hu-HU"/>
              </w:rPr>
              <w:t xml:space="preserve"> Chicago and London: University of Chicago Press.</w:t>
            </w:r>
          </w:p>
          <w:p w:rsidR="00C46A85" w:rsidRPr="00A6250F" w:rsidRDefault="00C46A85" w:rsidP="007B3277">
            <w:pPr>
              <w:numPr>
                <w:ilvl w:val="0"/>
                <w:numId w:val="5"/>
              </w:numPr>
              <w:rPr>
                <w:lang w:val="hu-HU"/>
              </w:rPr>
            </w:pPr>
            <w:r w:rsidRPr="00A6250F">
              <w:rPr>
                <w:lang w:val="hu-HU" w:eastAsia="zh-CN"/>
              </w:rPr>
              <w:t xml:space="preserve">Wiebe, Donald 2009. „Roots in the brain: on David Lewis-Williams and David Pearce, </w:t>
            </w:r>
            <w:r w:rsidRPr="00A6250F">
              <w:rPr>
                <w:i/>
                <w:iCs/>
                <w:lang w:val="hu-HU" w:eastAsia="zh-CN"/>
              </w:rPr>
              <w:t xml:space="preserve">Inside the Neolithic mind </w:t>
            </w:r>
            <w:r w:rsidRPr="00A6250F">
              <w:rPr>
                <w:lang w:val="hu-HU" w:eastAsia="zh-CN"/>
              </w:rPr>
              <w:t>(2005</w:t>
            </w:r>
            <w:r w:rsidRPr="00A6250F">
              <w:rPr>
                <w:lang w:val="hu-HU"/>
              </w:rPr>
              <w:t xml:space="preserve">).” In: Michael Stausberg (ed.) </w:t>
            </w:r>
            <w:r w:rsidRPr="00A6250F">
              <w:rPr>
                <w:i/>
                <w:iCs/>
                <w:lang w:val="hu-HU"/>
              </w:rPr>
              <w:t>Contemporary Theories of Religion. A critical companion.</w:t>
            </w:r>
            <w:r w:rsidRPr="00A6250F">
              <w:rPr>
                <w:lang w:val="hu-HU"/>
              </w:rPr>
              <w:t xml:space="preserve"> London and New York: Routledge, 195‒207.</w:t>
            </w:r>
          </w:p>
          <w:p w:rsidR="00C46A85" w:rsidRPr="00A6250F" w:rsidRDefault="00C46A85" w:rsidP="00CF19A8">
            <w:pPr>
              <w:jc w:val="both"/>
              <w:rPr>
                <w:b/>
                <w:bCs/>
                <w:lang w:val="hu-HU"/>
              </w:rPr>
            </w:pPr>
          </w:p>
        </w:tc>
      </w:tr>
      <w:tr w:rsidR="00C46A85" w:rsidRPr="00A6250F" w:rsidTr="003C16B8">
        <w:trPr>
          <w:gridBefore w:val="1"/>
          <w:wBefore w:w="5" w:type="dxa"/>
          <w:tblCellSpacing w:w="15" w:type="dxa"/>
        </w:trPr>
        <w:tc>
          <w:tcPr>
            <w:tcW w:w="8365" w:type="dxa"/>
            <w:vAlign w:val="center"/>
          </w:tcPr>
          <w:p w:rsidR="00C46A85" w:rsidRPr="00A6250F" w:rsidRDefault="00C46A85" w:rsidP="00866B8C">
            <w:pPr>
              <w:rPr>
                <w:b/>
                <w:bCs/>
              </w:rPr>
            </w:pPr>
            <w:r w:rsidRPr="00A6250F">
              <w:rPr>
                <w:b/>
                <w:bCs/>
              </w:rPr>
              <w:t>A vallási jelenségek 1–2. (Religious Phenomena 1–2.)</w:t>
            </w:r>
          </w:p>
          <w:p w:rsidR="00C46A85" w:rsidRPr="00A6250F" w:rsidRDefault="00C46A85" w:rsidP="00CF19A8">
            <w:pPr>
              <w:jc w:val="both"/>
            </w:pPr>
            <w:r w:rsidRPr="00A6250F">
              <w:t>Felelős: dr. Déri Balázs tanszékvezető, központigazgató egyetemi tanár (ELTE BTK ÓTI/VtK)</w:t>
            </w:r>
          </w:p>
        </w:tc>
      </w:tr>
      <w:tr w:rsidR="00C46A85" w:rsidRPr="00A6250F" w:rsidTr="003C16B8">
        <w:trPr>
          <w:gridBefore w:val="1"/>
          <w:wBefore w:w="5" w:type="dxa"/>
          <w:tblCellSpacing w:w="15" w:type="dxa"/>
        </w:trPr>
        <w:tc>
          <w:tcPr>
            <w:tcW w:w="8365" w:type="dxa"/>
            <w:tcMar>
              <w:top w:w="15" w:type="dxa"/>
              <w:left w:w="240" w:type="dxa"/>
              <w:bottom w:w="15" w:type="dxa"/>
              <w:right w:w="15" w:type="dxa"/>
            </w:tcMar>
            <w:vAlign w:val="center"/>
          </w:tcPr>
          <w:p w:rsidR="00C46A85" w:rsidRPr="00A6250F" w:rsidRDefault="00C46A85" w:rsidP="00CF19A8">
            <w:pPr>
              <w:jc w:val="both"/>
              <w:rPr>
                <w:lang w:val="hu-HU"/>
              </w:rPr>
            </w:pPr>
            <w:r w:rsidRPr="00A6250F">
              <w:rPr>
                <w:lang w:val="hu-HU"/>
              </w:rPr>
              <w:t xml:space="preserve">10-10 kredit, gyakorlat, kötelező, nem ismételhető </w:t>
            </w:r>
          </w:p>
          <w:p w:rsidR="00C46A85" w:rsidRPr="00A6250F" w:rsidRDefault="00C46A85" w:rsidP="00CF19A8">
            <w:pPr>
              <w:jc w:val="both"/>
              <w:rPr>
                <w:lang w:val="hu-HU"/>
              </w:rPr>
            </w:pPr>
          </w:p>
          <w:p w:rsidR="00C46A85" w:rsidRPr="00A6250F" w:rsidRDefault="00C46A85" w:rsidP="00866B8C">
            <w:pPr>
              <w:rPr>
                <w:lang w:val="hu-HU"/>
              </w:rPr>
            </w:pPr>
            <w:r w:rsidRPr="00A6250F">
              <w:rPr>
                <w:lang w:val="hu-HU"/>
              </w:rPr>
              <w:t>A tantárgy anyaga lényegében a vallásfenomenológia egyes kiemelt tárgyköreinek felel meg, különös tekintettel a múltbéli vagy élő vallások „gyakorlati”, azaz rituális, néprajzi, szociális vonatkozásaira. A kurzusoknak nem célja, hogy általános bevezetést adjanak a vallás</w:t>
            </w:r>
            <w:r w:rsidRPr="00A6250F">
              <w:rPr>
                <w:lang w:val="hu-HU"/>
              </w:rPr>
              <w:softHyphen/>
            </w:r>
            <w:r w:rsidRPr="00A6250F">
              <w:rPr>
                <w:lang w:val="hu-HU"/>
              </w:rPr>
              <w:softHyphen/>
              <w:t>fenomenológiába (az a BA- és az MA-tanulmányok, illetve a legújabb fejleményeket illetően a doktori képzés tárgya, ld. P/FIL/VAL-4 – Vallástudományi iskolák 1.), inkább egy-egy vallási jelenség (pl. tér, idő — szó, áldozat — mozgás, öltözködés — kő, víz, fa, stb.) körüljárását célozzák, egy-egy meghatározott korra és kultúrára szűkítve vagy tágabb összehasonlító anyag alapján.</w:t>
            </w:r>
          </w:p>
          <w:p w:rsidR="00C46A85" w:rsidRPr="00A6250F" w:rsidRDefault="00C46A85" w:rsidP="00866B8C">
            <w:pPr>
              <w:rPr>
                <w:lang w:val="hu-HU"/>
              </w:rPr>
            </w:pPr>
          </w:p>
          <w:p w:rsidR="00C46A85" w:rsidRPr="00A6250F" w:rsidRDefault="00C46A85" w:rsidP="00866B8C">
            <w:pPr>
              <w:tabs>
                <w:tab w:val="center" w:pos="0"/>
              </w:tabs>
              <w:suppressAutoHyphens/>
              <w:ind w:right="-45"/>
            </w:pPr>
            <w:r w:rsidRPr="00A6250F">
              <w:t>A kurzusoknak két hangsúlya is lehetséges: vagy a) elsősorban múltbéli, tárgyi és írott források alapján megismerhető jelenségekkel foglalkoznak (P/FIL/VAL-6 – A vallási jelenségek 1.), vagy b) a kortárs valóságukban megfigyelhető vallási csoportok rituális gya</w:t>
            </w:r>
            <w:r w:rsidRPr="00A6250F">
              <w:softHyphen/>
              <w:t>kor</w:t>
            </w:r>
            <w:r w:rsidRPr="00A6250F">
              <w:softHyphen/>
              <w:t xml:space="preserve">latát veszik tekintetbe (P/FIL/VAL-7 – A vallási jelenségek 2.), és ekkor az érdeklődés középpontjában azok a jelenségek állnak, amelyeket csak a közvetlen tapasztalat tesz megfigyelhetővé, így pl. a mozgások, a hanghordozás, a szertartásokban való részvétel intenzitása és módja, a rítushoz való szubjektív viszony, stb. </w:t>
            </w:r>
          </w:p>
          <w:p w:rsidR="00C46A85" w:rsidRPr="00A6250F" w:rsidRDefault="00C46A85" w:rsidP="00866B8C">
            <w:pPr>
              <w:rPr>
                <w:lang w:val="hu-HU"/>
              </w:rPr>
            </w:pPr>
          </w:p>
          <w:p w:rsidR="00C46A85" w:rsidRPr="00A6250F" w:rsidRDefault="00C46A85" w:rsidP="00866B8C">
            <w:pPr>
              <w:rPr>
                <w:lang w:val="hu-HU"/>
              </w:rPr>
            </w:pPr>
            <w:r w:rsidRPr="00A6250F">
              <w:rPr>
                <w:lang w:val="hu-HU"/>
              </w:rPr>
              <w:t xml:space="preserve">Mivel mindkét tanegységhez rendre változó tartalmú kurzusok tartoznak, ismételhetők a hallgató által korábban elvégzettektől eltérő tematikájú kurzusokból. </w:t>
            </w:r>
          </w:p>
          <w:p w:rsidR="00C46A85" w:rsidRPr="00A6250F" w:rsidRDefault="00C46A85" w:rsidP="00866B8C">
            <w:pPr>
              <w:rPr>
                <w:lang w:val="hu-HU"/>
              </w:rPr>
            </w:pPr>
          </w:p>
          <w:p w:rsidR="00C46A85" w:rsidRPr="00A6250F" w:rsidRDefault="00C46A85" w:rsidP="00866B8C">
            <w:pPr>
              <w:autoSpaceDE w:val="0"/>
              <w:autoSpaceDN w:val="0"/>
              <w:adjustRightInd w:val="0"/>
              <w:rPr>
                <w:lang w:val="hu-HU"/>
              </w:rPr>
            </w:pPr>
            <w:r w:rsidRPr="00A6250F">
              <w:rPr>
                <w:lang w:val="hu-HU"/>
              </w:rPr>
              <w:t xml:space="preserve">Mintaként: egy lehetséges, </w:t>
            </w:r>
            <w:r w:rsidRPr="00A6250F">
              <w:rPr>
                <w:i/>
                <w:lang w:val="hu-HU"/>
              </w:rPr>
              <w:t>A víz a keresztény kultuszban</w:t>
            </w:r>
            <w:r w:rsidRPr="00A6250F">
              <w:rPr>
                <w:lang w:val="hu-HU"/>
              </w:rPr>
              <w:t xml:space="preserve"> című kurzus során vizsgált terület a víz rituális jelentősége lesz a keleti és a nyugati kereszténység kora középkori szöveg</w:t>
            </w:r>
            <w:r w:rsidRPr="00A6250F">
              <w:rPr>
                <w:lang w:val="hu-HU"/>
              </w:rPr>
              <w:softHyphen/>
              <w:t xml:space="preserve">emlékeinek fényében (tehát a fentebbi a) jellegű kurzus, </w:t>
            </w:r>
            <w:r w:rsidRPr="00A6250F">
              <w:t>P/FIL/VAL-6 – A vallási jelenségek 1.</w:t>
            </w:r>
            <w:r w:rsidRPr="00A6250F">
              <w:rPr>
                <w:lang w:val="hu-HU"/>
              </w:rPr>
              <w:t>). A tervezett tanmenet: 1) A víz szimbolikája, teológiája és kozmogóniája, 2) A keresztelés szertartásai és a kereszt</w:t>
            </w:r>
            <w:r w:rsidRPr="00A6250F">
              <w:rPr>
                <w:lang w:val="hu-HU"/>
              </w:rPr>
              <w:softHyphen/>
              <w:t>víz Rómában, 3) A vízszentelés keleten, különös tekintettel Jeruzsálemre, 3) A keresztvíz</w:t>
            </w:r>
            <w:r w:rsidRPr="00A6250F">
              <w:rPr>
                <w:lang w:val="hu-HU"/>
              </w:rPr>
              <w:softHyphen/>
              <w:t>szentelés főimája; 4) A vízkereszti vízszentelés főimája, 5) A szenteltvíz típusai, használata, jelentősége, 6) Az egyszerű vízszentelés, 7) A „nagyobb” vízszentelés, 8) A vízkereszti víz</w:t>
            </w:r>
            <w:r w:rsidRPr="00A6250F">
              <w:rPr>
                <w:lang w:val="hu-HU"/>
              </w:rPr>
              <w:softHyphen/>
              <w:t>szentelés a Nyugaton. A kurzuson elsődleges szempont az alapos és átfogó forrás</w:t>
            </w:r>
            <w:r w:rsidRPr="00A6250F">
              <w:rPr>
                <w:lang w:val="hu-HU"/>
              </w:rPr>
              <w:softHyphen/>
              <w:t xml:space="preserve">ismeret (lehetőleg a forrásnyelv elemi ismerete), majd a források szintetizálása és történeti, elméleti következtetések levonása. Bár a kurzus történeti jellegű, kötelezően hozzátartozik egy előírt istentisztelet-látogatás, amelyen vízszentelés megy végbe. </w:t>
            </w:r>
          </w:p>
          <w:p w:rsidR="00C46A85" w:rsidRPr="00A6250F" w:rsidRDefault="00C46A85" w:rsidP="00866B8C">
            <w:pPr>
              <w:autoSpaceDE w:val="0"/>
              <w:autoSpaceDN w:val="0"/>
              <w:adjustRightInd w:val="0"/>
              <w:rPr>
                <w:lang w:val="hu-HU"/>
              </w:rPr>
            </w:pPr>
            <w:r w:rsidRPr="00A6250F">
              <w:rPr>
                <w:lang w:val="hu-HU"/>
              </w:rPr>
              <w:tab/>
            </w:r>
          </w:p>
          <w:p w:rsidR="00C46A85" w:rsidRPr="00A6250F" w:rsidRDefault="00C46A85" w:rsidP="00866B8C">
            <w:pPr>
              <w:autoSpaceDE w:val="0"/>
              <w:autoSpaceDN w:val="0"/>
              <w:adjustRightInd w:val="0"/>
              <w:rPr>
                <w:lang w:val="hu-HU"/>
              </w:rPr>
            </w:pPr>
            <w:r w:rsidRPr="00A6250F">
              <w:rPr>
                <w:lang w:val="hu-HU"/>
              </w:rPr>
              <w:t>Ha megfelelő számú istentiszteletlátogatás biztosítható (tavaszi félévben Julián- és Gergely-naptárat használó keresztény közösségek eltérő időben tartott vízkeresztje templomi, ill. folyószenteléssel, latin húsvét, keresztelések), akkor a fentebbi b) jellegű kurzus (</w:t>
            </w:r>
            <w:r w:rsidRPr="00A6250F">
              <w:t>P/FIL/VAL-7 – A vallási jelenségek 2.</w:t>
            </w:r>
            <w:r w:rsidRPr="00A6250F">
              <w:rPr>
                <w:lang w:val="hu-HU"/>
              </w:rPr>
              <w:t xml:space="preserve">) keretében az írásos források és a szakirodalom használata értelemszerűen csökken.  </w:t>
            </w:r>
          </w:p>
          <w:p w:rsidR="00C46A85" w:rsidRPr="00A6250F" w:rsidRDefault="00C46A85" w:rsidP="00866B8C">
            <w:pPr>
              <w:rPr>
                <w:lang w:val="hu-HU"/>
              </w:rPr>
            </w:pPr>
          </w:p>
          <w:p w:rsidR="00C46A85" w:rsidRPr="00A6250F" w:rsidRDefault="00C46A85" w:rsidP="007B3277">
            <w:pPr>
              <w:rPr>
                <w:lang w:val="en-GB"/>
              </w:rPr>
            </w:pPr>
            <w:r w:rsidRPr="00A6250F">
              <w:rPr>
                <w:lang w:val="en-GB"/>
              </w:rPr>
              <w:t xml:space="preserve">The course unit focuses on certain aspects of the phenomenology of religion, with emphasis on the practical aspects of historical and living religions, in other words the ritualistic, ethnographical and sociological aspects. The course does not aim to provide a broad introduction to the phenomenology of religion (as is given by BA and MA studies, and the P/FIL/VAL-4 – Vallástudományi iskolák 1. course-unit of the doctorate course), but rather aims to examine certain religious phenomena (e.g. space, time – word, sacrifice – movement, clothing – stone, wood, water) in a defined time period, or based on larger comparative studies. </w:t>
            </w:r>
          </w:p>
          <w:p w:rsidR="00C46A85" w:rsidRPr="00A6250F" w:rsidRDefault="00C46A85" w:rsidP="007B3277">
            <w:pPr>
              <w:rPr>
                <w:lang w:val="en-GB"/>
              </w:rPr>
            </w:pPr>
          </w:p>
          <w:p w:rsidR="00C46A85" w:rsidRPr="00A6250F" w:rsidRDefault="00C46A85" w:rsidP="007B3277">
            <w:pPr>
              <w:rPr>
                <w:lang w:val="en-GB"/>
              </w:rPr>
            </w:pPr>
            <w:r w:rsidRPr="00A6250F">
              <w:rPr>
                <w:lang w:val="en-GB"/>
              </w:rPr>
              <w:t xml:space="preserve">The course-unit has two possible points of emphasis: on the one hand a) historical written and material sources, and the religious questions they raise may be examined (P/FIL/VAL-6 – A vallási jelenségek 1.), on the other hand b) may examine the ritual practice of contemporary religious groups (P/FIL/VAL-7 – A vallási jelenségek 2.). In this case those aspects of the rituals will be examined that are only accessible through on-the-spot observation, such as: movements, tone of voice, the intensity and way of participation in the ritual, the subjective relation to the ritual, etc. </w:t>
            </w:r>
          </w:p>
          <w:p w:rsidR="00C46A85" w:rsidRPr="00A6250F" w:rsidRDefault="00C46A85" w:rsidP="007B3277">
            <w:pPr>
              <w:rPr>
                <w:lang w:val="en-GB"/>
              </w:rPr>
            </w:pPr>
          </w:p>
          <w:p w:rsidR="00C46A85" w:rsidRPr="00A6250F" w:rsidRDefault="00C46A85" w:rsidP="007B3277">
            <w:pPr>
              <w:rPr>
                <w:lang w:val="en-GB"/>
              </w:rPr>
            </w:pPr>
            <w:r w:rsidRPr="00A6250F">
              <w:rPr>
                <w:lang w:val="en-GB"/>
              </w:rPr>
              <w:t xml:space="preserve">As the topic of both courses is changeable students may repeat the course-units, if the examined topic differs from other topics already completed by the student. </w:t>
            </w:r>
          </w:p>
          <w:p w:rsidR="00C46A85" w:rsidRPr="00A6250F" w:rsidRDefault="00C46A85" w:rsidP="007B3277">
            <w:pPr>
              <w:rPr>
                <w:lang w:val="en-GB"/>
              </w:rPr>
            </w:pPr>
          </w:p>
          <w:p w:rsidR="00C46A85" w:rsidRPr="00A6250F" w:rsidRDefault="00C46A85" w:rsidP="007B3277">
            <w:pPr>
              <w:autoSpaceDE w:val="0"/>
              <w:autoSpaceDN w:val="0"/>
              <w:adjustRightInd w:val="0"/>
              <w:rPr>
                <w:lang w:val="en-GB"/>
              </w:rPr>
            </w:pPr>
            <w:r w:rsidRPr="00A6250F">
              <w:rPr>
                <w:lang w:val="en-GB"/>
              </w:rPr>
              <w:t xml:space="preserve">As a sample, a possible </w:t>
            </w:r>
            <w:r w:rsidRPr="00A6250F">
              <w:rPr>
                <w:i/>
                <w:lang w:val="en-GB"/>
              </w:rPr>
              <w:t>Water in Christian Services</w:t>
            </w:r>
            <w:r w:rsidRPr="00A6250F">
              <w:rPr>
                <w:lang w:val="en-GB"/>
              </w:rPr>
              <w:t xml:space="preserve"> course would examine the importance of water in the rituals of Eastern and Western Christianity through textual sources from the early middle ages (and is thus a type a), P/FIL/VAL-6 – A vallási jelenségek 1.,  course). The planned curriculum: 1) The symbolism, theology and cosmology of water, 2) The rituals of Christening and christening water in Rome, 3) The blessing of water in the East, with special emphasis on Jerusalem, 4) The main prayer of the blessing of water, 5) The main prayer of the blessing of water on Epiphany, 6) The types, uses, and meaning of Holy Water, 7) The simple blessing of water, 8) The ‘greater’ blessing of water, 9) The blessing of water on Epiphany in the West. The examination of sources is a central aspect of the course (a basic knowledge of the source-language is required if possible), followed by the synthesising of sources and the drawing of historical and theoretical conclusions. While the course is historical in nature attending a service in which water is blessed is compulsory.</w:t>
            </w:r>
          </w:p>
          <w:p w:rsidR="00C46A85" w:rsidRPr="00A6250F" w:rsidRDefault="00C46A85" w:rsidP="007B3277">
            <w:pPr>
              <w:autoSpaceDE w:val="0"/>
              <w:autoSpaceDN w:val="0"/>
              <w:adjustRightInd w:val="0"/>
              <w:rPr>
                <w:lang w:val="en-GB"/>
              </w:rPr>
            </w:pPr>
          </w:p>
          <w:p w:rsidR="00C46A85" w:rsidRPr="00A6250F" w:rsidRDefault="00C46A85" w:rsidP="007B3277">
            <w:pPr>
              <w:autoSpaceDE w:val="0"/>
              <w:autoSpaceDN w:val="0"/>
              <w:adjustRightInd w:val="0"/>
              <w:rPr>
                <w:lang w:val="en-GB"/>
              </w:rPr>
            </w:pPr>
            <w:r w:rsidRPr="00A6250F">
              <w:rPr>
                <w:lang w:val="en-GB"/>
              </w:rPr>
              <w:t xml:space="preserve">If a high enough number of services are available (in the spring semester: the different Epiphany blessings held by Christian communities following the Julian resp. Gregorian calendars, and river blessings, as well as Latin Easter, baptisms), then in accordance with a type b) course (P/FIL/VAL-7 – A vallási jelenségek 2.) listed above the use of written sources and secondary literature will be limited. </w:t>
            </w:r>
          </w:p>
          <w:p w:rsidR="00C46A85" w:rsidRPr="00A6250F" w:rsidRDefault="00C46A85" w:rsidP="007B3277">
            <w:pPr>
              <w:autoSpaceDE w:val="0"/>
              <w:autoSpaceDN w:val="0"/>
              <w:adjustRightInd w:val="0"/>
              <w:rPr>
                <w:lang w:val="en-GB"/>
              </w:rPr>
            </w:pPr>
          </w:p>
          <w:p w:rsidR="00C46A85" w:rsidRPr="00A6250F" w:rsidRDefault="00C46A85" w:rsidP="007B3277">
            <w:pPr>
              <w:rPr>
                <w:lang w:val="hu-HU"/>
              </w:rPr>
            </w:pPr>
            <w:r w:rsidRPr="00A6250F">
              <w:rPr>
                <w:lang w:val="hu-HU"/>
              </w:rPr>
              <w:t>Irodalom:</w:t>
            </w:r>
          </w:p>
          <w:p w:rsidR="00C46A85" w:rsidRPr="00A6250F" w:rsidRDefault="00C46A85" w:rsidP="007B3277">
            <w:pPr>
              <w:rPr>
                <w:lang w:val="en-GB"/>
              </w:rPr>
            </w:pPr>
            <w:r w:rsidRPr="00A6250F">
              <w:rPr>
                <w:lang w:val="en-GB"/>
              </w:rPr>
              <w:t>Compulsory secondary literature:</w:t>
            </w:r>
          </w:p>
          <w:p w:rsidR="00C46A85" w:rsidRPr="00A6250F" w:rsidRDefault="00C46A85" w:rsidP="00866B8C">
            <w:pPr>
              <w:rPr>
                <w:lang w:val="hu-HU"/>
              </w:rPr>
            </w:pPr>
          </w:p>
          <w:p w:rsidR="00C46A85" w:rsidRPr="00A6250F" w:rsidRDefault="00C46A85" w:rsidP="00866B8C">
            <w:pPr>
              <w:numPr>
                <w:ilvl w:val="0"/>
                <w:numId w:val="7"/>
              </w:numPr>
              <w:autoSpaceDE w:val="0"/>
              <w:autoSpaceDN w:val="0"/>
              <w:adjustRightInd w:val="0"/>
              <w:rPr>
                <w:lang w:val="hu-HU"/>
              </w:rPr>
            </w:pPr>
            <w:r w:rsidRPr="00A6250F">
              <w:rPr>
                <w:lang w:val="hu-HU"/>
              </w:rPr>
              <w:t xml:space="preserve">Cabrol, Fernand OSB — Leclercq, Henri OSB — Marrou, Henri: </w:t>
            </w:r>
            <w:r w:rsidRPr="00A6250F">
              <w:rPr>
                <w:i/>
                <w:lang w:val="hu-HU"/>
              </w:rPr>
              <w:t>Dictionnaire d’archéologie chrétienne et de liturgie</w:t>
            </w:r>
            <w:r w:rsidRPr="00A6250F">
              <w:rPr>
                <w:lang w:val="hu-HU"/>
              </w:rPr>
              <w:t>. Librairie Letouzey et Ané, Paris 1907–1953.</w:t>
            </w:r>
          </w:p>
          <w:p w:rsidR="00C46A85" w:rsidRPr="00A6250F" w:rsidRDefault="00C46A85" w:rsidP="00866B8C">
            <w:pPr>
              <w:numPr>
                <w:ilvl w:val="0"/>
                <w:numId w:val="7"/>
              </w:numPr>
              <w:autoSpaceDE w:val="0"/>
              <w:autoSpaceDN w:val="0"/>
              <w:adjustRightInd w:val="0"/>
              <w:rPr>
                <w:lang w:val="hu-HU"/>
              </w:rPr>
            </w:pPr>
            <w:r w:rsidRPr="00A6250F">
              <w:rPr>
                <w:lang w:val="hu-HU"/>
              </w:rPr>
              <w:t xml:space="preserve">Conybeare, Frederick Cornwallis — Maclean, Arthur John: </w:t>
            </w:r>
            <w:r w:rsidRPr="00A6250F">
              <w:rPr>
                <w:i/>
                <w:lang w:val="hu-HU"/>
              </w:rPr>
              <w:t>Rituale Armenorum Being the Administration of the Sacraments and the Breviary Rites of the Armenian Church Together with the Greek Rites of Baptism and Epiphany.</w:t>
            </w:r>
            <w:r w:rsidRPr="00A6250F">
              <w:rPr>
                <w:lang w:val="hu-HU"/>
              </w:rPr>
              <w:t xml:space="preserve"> Clarendon Press, Oxford 1905.</w:t>
            </w:r>
          </w:p>
          <w:p w:rsidR="00C46A85" w:rsidRPr="00A6250F" w:rsidRDefault="00C46A85" w:rsidP="00866B8C">
            <w:pPr>
              <w:numPr>
                <w:ilvl w:val="0"/>
                <w:numId w:val="7"/>
              </w:numPr>
              <w:autoSpaceDE w:val="0"/>
              <w:autoSpaceDN w:val="0"/>
              <w:adjustRightInd w:val="0"/>
              <w:rPr>
                <w:lang w:val="hu-HU"/>
              </w:rPr>
            </w:pPr>
            <w:r w:rsidRPr="00A6250F">
              <w:rPr>
                <w:lang w:val="hu-HU"/>
              </w:rPr>
              <w:t xml:space="preserve">Denysenko, Nicholas E.: </w:t>
            </w:r>
            <w:r w:rsidRPr="00A6250F">
              <w:rPr>
                <w:i/>
                <w:lang w:val="hu-HU"/>
              </w:rPr>
              <w:t>The Blessing of Waters on the Feast of Theophany in the Byzantine Rite. Historical Formation and Theological Implications</w:t>
            </w:r>
            <w:r w:rsidRPr="00A6250F">
              <w:rPr>
                <w:lang w:val="hu-HU"/>
              </w:rPr>
              <w:t>. ProQuest, Washington D. C. 2008. &lt;http://books.google.hu/books?id=nXyygX2h58QC&amp;dq =inauthor:%22Nicholas+E. +Denysenko%22+inauthor:%22The+Catholic+University +of+America%22&amp;hl=hu&amp;source=gbs_navlinks_s&gt;</w:t>
            </w:r>
          </w:p>
          <w:p w:rsidR="00C46A85" w:rsidRPr="00A6250F" w:rsidRDefault="00C46A85" w:rsidP="00866B8C">
            <w:pPr>
              <w:numPr>
                <w:ilvl w:val="0"/>
                <w:numId w:val="7"/>
              </w:numPr>
              <w:autoSpaceDE w:val="0"/>
              <w:autoSpaceDN w:val="0"/>
              <w:adjustRightInd w:val="0"/>
              <w:rPr>
                <w:lang w:val="hu-HU"/>
              </w:rPr>
            </w:pPr>
            <w:r w:rsidRPr="00A6250F">
              <w:rPr>
                <w:lang w:val="hu-HU"/>
              </w:rPr>
              <w:t xml:space="preserve">Marquess of Bute, John — Wallis Budge, Ernest Alfred: </w:t>
            </w:r>
            <w:r w:rsidRPr="00A6250F">
              <w:rPr>
                <w:i/>
                <w:lang w:val="hu-HU"/>
              </w:rPr>
              <w:t>The Blessing of the Waters on the Eve of the Epiphany</w:t>
            </w:r>
            <w:r w:rsidRPr="00A6250F">
              <w:rPr>
                <w:lang w:val="hu-HU"/>
              </w:rPr>
              <w:t>. H. Frowde, London 1901.</w:t>
            </w:r>
          </w:p>
          <w:p w:rsidR="00C46A85" w:rsidRPr="00A6250F" w:rsidRDefault="00C46A85" w:rsidP="00866B8C">
            <w:pPr>
              <w:numPr>
                <w:ilvl w:val="0"/>
                <w:numId w:val="7"/>
              </w:numPr>
              <w:autoSpaceDE w:val="0"/>
              <w:autoSpaceDN w:val="0"/>
              <w:adjustRightInd w:val="0"/>
              <w:rPr>
                <w:lang w:val="hu-HU"/>
              </w:rPr>
            </w:pPr>
            <w:r w:rsidRPr="00A6250F">
              <w:rPr>
                <w:lang w:val="hu-HU"/>
              </w:rPr>
              <w:t xml:space="preserve">Puniet, Pierre de: „Formulaire grec de l’Épiphnie dans une traduction latine ancienne”, </w:t>
            </w:r>
            <w:r w:rsidRPr="00A6250F">
              <w:rPr>
                <w:i/>
                <w:lang w:val="hu-HU"/>
              </w:rPr>
              <w:t>Revue Bénédictine</w:t>
            </w:r>
            <w:r w:rsidRPr="00A6250F">
              <w:rPr>
                <w:lang w:val="hu-HU"/>
              </w:rPr>
              <w:t xml:space="preserve"> XXIX (1912) 29–46. </w:t>
            </w:r>
          </w:p>
          <w:p w:rsidR="00C46A85" w:rsidRPr="00A6250F" w:rsidRDefault="00C46A85" w:rsidP="00866B8C">
            <w:pPr>
              <w:numPr>
                <w:ilvl w:val="0"/>
                <w:numId w:val="7"/>
              </w:numPr>
              <w:autoSpaceDE w:val="0"/>
              <w:autoSpaceDN w:val="0"/>
              <w:adjustRightInd w:val="0"/>
              <w:rPr>
                <w:lang w:val="hu-HU"/>
              </w:rPr>
            </w:pPr>
            <w:r w:rsidRPr="00A6250F">
              <w:rPr>
                <w:lang w:val="hu-HU"/>
              </w:rPr>
              <w:t xml:space="preserve">Vogel, Cyrille — Elze, Reinhard: </w:t>
            </w:r>
            <w:r w:rsidRPr="00A6250F">
              <w:rPr>
                <w:i/>
                <w:lang w:val="hu-HU"/>
              </w:rPr>
              <w:t>Le pontifical romano-germanique du dixième siècle I–III.</w:t>
            </w:r>
            <w:r w:rsidRPr="00A6250F">
              <w:rPr>
                <w:lang w:val="hu-HU"/>
              </w:rPr>
              <w:t xml:space="preserve"> Città del Vaticano 1963, 1972. (Studi e Testi 226–227, 269)</w:t>
            </w:r>
          </w:p>
          <w:p w:rsidR="00C46A85" w:rsidRPr="00A6250F" w:rsidRDefault="00C46A85" w:rsidP="00CF19A8">
            <w:pPr>
              <w:jc w:val="both"/>
              <w:rPr>
                <w:b/>
                <w:bCs/>
                <w:lang w:val="hu-HU"/>
              </w:rPr>
            </w:pPr>
          </w:p>
        </w:tc>
      </w:tr>
      <w:tr w:rsidR="00C46A85" w:rsidRPr="00A6250F" w:rsidTr="003C16B8">
        <w:trPr>
          <w:gridBefore w:val="1"/>
          <w:wBefore w:w="5" w:type="dxa"/>
          <w:tblCellSpacing w:w="15" w:type="dxa"/>
        </w:trPr>
        <w:tc>
          <w:tcPr>
            <w:tcW w:w="8365" w:type="dxa"/>
            <w:vAlign w:val="center"/>
          </w:tcPr>
          <w:p w:rsidR="00C46A85" w:rsidRPr="00A6250F" w:rsidRDefault="00C46A85" w:rsidP="00866B8C">
            <w:pPr>
              <w:rPr>
                <w:b/>
                <w:bCs/>
              </w:rPr>
            </w:pPr>
            <w:r w:rsidRPr="00A6250F">
              <w:rPr>
                <w:b/>
                <w:bCs/>
              </w:rPr>
              <w:t>Forrásismeret (Analysis of sources)</w:t>
            </w:r>
          </w:p>
          <w:p w:rsidR="00C46A85" w:rsidRPr="00A6250F" w:rsidRDefault="00C46A85" w:rsidP="00866B8C">
            <w:pPr>
              <w:jc w:val="both"/>
              <w:rPr>
                <w:lang w:val="hu-HU"/>
              </w:rPr>
            </w:pPr>
            <w:r w:rsidRPr="00A6250F">
              <w:t>Felelős: dr. Földváry Miklós István habilitált egyetemi adjunktus (ELTE BTK ÓTI</w:t>
            </w:r>
          </w:p>
        </w:tc>
      </w:tr>
      <w:tr w:rsidR="00C46A85" w:rsidRPr="00A6250F" w:rsidTr="003C16B8">
        <w:trPr>
          <w:gridBefore w:val="1"/>
          <w:wBefore w:w="5" w:type="dxa"/>
          <w:tblCellSpacing w:w="15" w:type="dxa"/>
        </w:trPr>
        <w:tc>
          <w:tcPr>
            <w:tcW w:w="8365" w:type="dxa"/>
            <w:tcMar>
              <w:top w:w="15" w:type="dxa"/>
              <w:left w:w="240" w:type="dxa"/>
              <w:bottom w:w="15" w:type="dxa"/>
              <w:right w:w="15" w:type="dxa"/>
            </w:tcMar>
            <w:vAlign w:val="center"/>
          </w:tcPr>
          <w:p w:rsidR="00C46A85" w:rsidRPr="00A6250F" w:rsidRDefault="00C46A85" w:rsidP="00CF19A8">
            <w:pPr>
              <w:jc w:val="both"/>
              <w:rPr>
                <w:lang w:val="hu-HU"/>
              </w:rPr>
            </w:pPr>
            <w:r w:rsidRPr="00A6250F">
              <w:rPr>
                <w:lang w:val="hu-HU"/>
              </w:rPr>
              <w:t>10 kredit, gyakorlat, kötelező, ismételhető</w:t>
            </w:r>
          </w:p>
          <w:p w:rsidR="00C46A85" w:rsidRPr="00A6250F" w:rsidRDefault="00C46A85" w:rsidP="00CF19A8">
            <w:pPr>
              <w:jc w:val="both"/>
              <w:rPr>
                <w:lang w:val="hu-HU"/>
              </w:rPr>
            </w:pPr>
          </w:p>
          <w:p w:rsidR="00C46A85" w:rsidRPr="00A6250F" w:rsidRDefault="00C46A85" w:rsidP="007B3277">
            <w:pPr>
              <w:rPr>
                <w:lang w:val="hu-HU"/>
              </w:rPr>
            </w:pPr>
            <w:r w:rsidRPr="00A6250F">
              <w:rPr>
                <w:lang w:val="hu-HU"/>
              </w:rPr>
              <w:t>A tanegységhez tartozó kurzusok témája a hallgatók igen eltérő dolgozattémáihoz kapcsolódó szöveges, tárgyi, ikonográfiai stb. források (ide értve egy vallás szent szövegektől kezdve egy néprajzi–kulturális antropológiai gyűjtés anyagáig a legkülönbözőbb forrástípusokat) közös feldolgozása adekvát módszerek segítségével. A tanegység rokon a két előzővel (6</w:t>
            </w:r>
            <w:r w:rsidRPr="00A6250F">
              <w:rPr>
                <w:b/>
                <w:bCs/>
              </w:rPr>
              <w:t>–</w:t>
            </w:r>
            <w:r w:rsidRPr="00A6250F">
              <w:rPr>
                <w:bCs/>
              </w:rPr>
              <w:t>7)</w:t>
            </w:r>
            <w:r w:rsidRPr="00A6250F">
              <w:rPr>
                <w:lang w:val="hu-HU"/>
              </w:rPr>
              <w:t>, ám ott a források egy-egy vallási jelenséget illusztrálnak (tehát az elméletből indulnak ki a kurzusok), itt fordítva: az adott forrásokból indul ki a kurzusmunka.</w:t>
            </w:r>
          </w:p>
          <w:p w:rsidR="00C46A85" w:rsidRPr="00A6250F" w:rsidRDefault="00C46A85" w:rsidP="007B3277">
            <w:pPr>
              <w:rPr>
                <w:lang w:val="hu-HU"/>
              </w:rPr>
            </w:pPr>
          </w:p>
          <w:p w:rsidR="00C46A85" w:rsidRDefault="00C46A85" w:rsidP="007B3277">
            <w:pPr>
              <w:rPr>
                <w:lang w:val="hu-HU"/>
              </w:rPr>
            </w:pPr>
            <w:r w:rsidRPr="00A6250F">
              <w:rPr>
                <w:lang w:val="hu-HU"/>
              </w:rPr>
              <w:t xml:space="preserve">Mivel a tanegységhez rendre változó tartalmú kurzusok tartoznak, ismételhető a hallgató által korábban elvégzettektől eltérő tematikájú kurzusokból, továbbá a Filozófiai Doktoriskola más programjainak hasonló jellegű kurzusaiból. </w:t>
            </w:r>
          </w:p>
          <w:p w:rsidR="00C46A85" w:rsidRPr="00A6250F" w:rsidRDefault="00C46A85" w:rsidP="007B3277">
            <w:pPr>
              <w:rPr>
                <w:lang w:val="hu-HU"/>
              </w:rPr>
            </w:pPr>
          </w:p>
          <w:p w:rsidR="00C46A85" w:rsidRPr="00A6250F" w:rsidRDefault="00C46A85" w:rsidP="007B3277">
            <w:r w:rsidRPr="00A6250F">
              <w:rPr>
                <w:lang w:val="hu-HU"/>
              </w:rPr>
              <w:t>Az alábbiakban példálózó jelleggel, mintaként egy lehetséges, a Vallástudományi Központ Liturgiatörténeti Kutatócsoportja ez idő szerinti egyik kutatási területének megfelelő „</w:t>
            </w:r>
            <w:r w:rsidRPr="00A6250F">
              <w:t xml:space="preserve">Ünnepek és időszámítás a pogány és a keresztény Rómában” kurzus leírása: </w:t>
            </w:r>
          </w:p>
          <w:p w:rsidR="00C46A85" w:rsidRPr="00A6250F" w:rsidRDefault="00C46A85" w:rsidP="007B3277"/>
          <w:p w:rsidR="00C46A85" w:rsidRPr="00A6250F" w:rsidRDefault="00C46A85" w:rsidP="007B3277">
            <w:r w:rsidRPr="00A6250F">
              <w:t xml:space="preserve">Az idő vallásos értelmezésének és kezelésének egyik legkidolgozottabb esete az, amelyet a klasszikus római (pogány) vallásosság alkalmazott. Egyszersmind ez az a terület, ahol a római típusú keresztény gyakorlat a legnyilvánvalóbban kapcsolódik pogány előzményeihez. A folytonosság egyrészt objektív mozzanatokban ragadható meg: ilyenek meghatározott római ünnepek, szokások továbbélései, másrészt az egész naptári rendszer átvétele. Ennél érdekesebbek azonban a mentalitásbeli azonosságok, például az időkezelés szándékos bonyolultsága, mondhatni ezoterikus jellege, vagy az a kiegyenlítési hajlam, amely a szociológiai értelemben „vallásosabb” és „kevésbé vallásos” időszakok közti különbséget igyekszik csökkenteni az ünnepkalendáriumnak az egész évre való kiterjesztésével. A kurzus a forráselemzés módszerével egy-egy esettanulmányon keresztül mutatja be a rokon jelenségeket, és helyezi őket általánosabb elméleti összefüggésbe. Az elemzett forrástípusok: 1. Ünnepek, szent idők kihirdetése (pl. Kalendae, martyrologium, ünnephirdetés); 2. Irodalmi szemelvények (pl. Ovidius: Fasti, Macrobius: Saturnalia, Varro: De lingua Latina, Livius, Beda Venerabilis: De temporibus vonatkozó részletei); 3. Computus-szövegek; 4. Tárgyi emlékek: Fasti (márványtáblák), kalendáriumok, officia anni-ábrázolások, húsvétszámítási segédletek. </w:t>
            </w:r>
          </w:p>
          <w:p w:rsidR="00C46A85" w:rsidRPr="00A6250F" w:rsidRDefault="00C46A85" w:rsidP="007B3277"/>
          <w:p w:rsidR="00C46A85" w:rsidRPr="00A6250F" w:rsidRDefault="00C46A85" w:rsidP="00E75B20">
            <w:pPr>
              <w:rPr>
                <w:lang w:val="en-GB"/>
              </w:rPr>
            </w:pPr>
            <w:r w:rsidRPr="00A6250F">
              <w:rPr>
                <w:lang w:val="en-GB"/>
              </w:rPr>
              <w:t>The courses dedicated to this course-unit will aim to process textual, material, iconographical etc. sources (meaning from holy texts, to the information collected in an ethnographic-cultural anthropological survey all possible types of sources) in groups with adequate methods. The course-unit is related to the prior (6–7), however in the case of the earlier courses sources aim to illustrate a single religious phenomenon, in this course-unit the source itself will be the base of the examination.</w:t>
            </w:r>
          </w:p>
          <w:p w:rsidR="00C46A85" w:rsidRPr="00A6250F" w:rsidRDefault="00C46A85" w:rsidP="00E75B20">
            <w:pPr>
              <w:rPr>
                <w:lang w:val="en-GB"/>
              </w:rPr>
            </w:pPr>
          </w:p>
          <w:p w:rsidR="00C46A85" w:rsidRDefault="00C46A85" w:rsidP="00E75B20">
            <w:pPr>
              <w:rPr>
                <w:lang w:val="en-GB"/>
              </w:rPr>
            </w:pPr>
            <w:r w:rsidRPr="00A6250F">
              <w:rPr>
                <w:lang w:val="en-GB"/>
              </w:rPr>
              <w:t xml:space="preserve">As the topic of the course-unit is changeable students may repeat the course-unit, if the examined topic differs from other topics already completed by the student. Students may also repeat the course-unit through other courses provided by the Doctoral School of Philosophy. </w:t>
            </w:r>
          </w:p>
          <w:p w:rsidR="00C46A85" w:rsidRDefault="00C46A85" w:rsidP="00E75B20">
            <w:pPr>
              <w:rPr>
                <w:lang w:val="en-GB"/>
              </w:rPr>
            </w:pPr>
          </w:p>
          <w:p w:rsidR="00C46A85" w:rsidRPr="00A6250F" w:rsidRDefault="00C46A85" w:rsidP="00E75B20">
            <w:pPr>
              <w:rPr>
                <w:lang w:val="en-GB"/>
              </w:rPr>
            </w:pPr>
            <w:r w:rsidRPr="00A6250F">
              <w:rPr>
                <w:lang w:val="en-GB"/>
              </w:rPr>
              <w:t xml:space="preserve">Provided below as an example is the description of a possible course, which is connected to the current research of the Research Group of Liturgical History: </w:t>
            </w:r>
            <w:r w:rsidRPr="00A6250F">
              <w:rPr>
                <w:i/>
                <w:lang w:val="en-GB"/>
              </w:rPr>
              <w:t>Holidays and chronology in the pagan and Christian Rome.</w:t>
            </w:r>
          </w:p>
          <w:p w:rsidR="00C46A85" w:rsidRPr="00A6250F" w:rsidRDefault="00C46A85" w:rsidP="00E75B20">
            <w:pPr>
              <w:rPr>
                <w:lang w:val="en-GB"/>
              </w:rPr>
            </w:pPr>
          </w:p>
          <w:p w:rsidR="00C46A85" w:rsidRPr="00A6250F" w:rsidRDefault="00C46A85" w:rsidP="00E75B20">
            <w:pPr>
              <w:rPr>
                <w:lang w:val="en-GB"/>
              </w:rPr>
            </w:pPr>
            <w:r w:rsidRPr="00A6250F">
              <w:rPr>
                <w:lang w:val="en-GB"/>
              </w:rPr>
              <w:t xml:space="preserve">Classical (pagan) Rome provided one of the most elaborate forms of the religious use of time, it is also the area which connects the Roman type Christian practice with its pagan predecessor. This connection may be found in objective moments: such are the continued life of certain Roman holidays, and traditions, or the borrowing of the calendar in use. However, the connections to be found in mentality are more interesting, for example the intentionally, nearly esoterically, complex use of time, or the inclination towards balance, which in sociological terms means balancing ‘more religious’ and ‘less religious’ periods by spreading the holiday calendar throughout the year. </w:t>
            </w:r>
          </w:p>
          <w:p w:rsidR="00C46A85" w:rsidRPr="00A6250F" w:rsidRDefault="00C46A85" w:rsidP="00E75B20">
            <w:pPr>
              <w:rPr>
                <w:lang w:val="en-GB"/>
              </w:rPr>
            </w:pPr>
            <w:r w:rsidRPr="00A6250F">
              <w:rPr>
                <w:lang w:val="en-GB"/>
              </w:rPr>
              <w:t xml:space="preserve">The course aims to examine the related phenomena through casework, and places them in a broader theoretical relationship. The types of examined sources: 1. the announcement of holidays, and holy periods (eg. Kalendae, martyrology, announcement of holidays); 2. Literary excerpts (eg. Ovid: Fasti, Macrobius: Saturnalia, Varro: De Lingua Latina, Livy, Beda Venerabilis: the applicable sections of De temporibus); 3. Computus texts; 4. Material remains: Fasti (marble slabs), calendars, depictions of the officia anni, aids to the calculation of Easter. </w:t>
            </w:r>
          </w:p>
          <w:p w:rsidR="00C46A85" w:rsidRPr="00A6250F" w:rsidRDefault="00C46A85" w:rsidP="00E75B20">
            <w:pPr>
              <w:rPr>
                <w:lang w:val="en-GB"/>
              </w:rPr>
            </w:pPr>
          </w:p>
          <w:p w:rsidR="00C46A85" w:rsidRPr="00A6250F" w:rsidRDefault="00C46A85" w:rsidP="00E75B20">
            <w:pPr>
              <w:rPr>
                <w:lang w:val="en-GB"/>
              </w:rPr>
            </w:pPr>
            <w:r w:rsidRPr="00A6250F">
              <w:rPr>
                <w:lang w:val="en-GB"/>
              </w:rPr>
              <w:t>Compulsory secondary literature:</w:t>
            </w:r>
          </w:p>
          <w:p w:rsidR="00C46A85" w:rsidRPr="00A6250F" w:rsidRDefault="00C46A85" w:rsidP="007B3277">
            <w:pPr>
              <w:rPr>
                <w:lang w:val="en-GB"/>
              </w:rPr>
            </w:pPr>
            <w:r w:rsidRPr="00A6250F">
              <w:rPr>
                <w:lang w:val="en-GB"/>
              </w:rPr>
              <w:t>Kötelező irodalom:</w:t>
            </w:r>
          </w:p>
          <w:p w:rsidR="00C46A85" w:rsidRPr="00A6250F" w:rsidRDefault="00C46A85" w:rsidP="007B3277"/>
          <w:p w:rsidR="00C46A85" w:rsidRPr="00A6250F" w:rsidRDefault="00C46A85" w:rsidP="007B3277">
            <w:pPr>
              <w:numPr>
                <w:ilvl w:val="0"/>
                <w:numId w:val="8"/>
              </w:numPr>
            </w:pPr>
            <w:r w:rsidRPr="00A6250F">
              <w:t xml:space="preserve">Henish, Bridget Ann: </w:t>
            </w:r>
            <w:r w:rsidRPr="00A6250F">
              <w:rPr>
                <w:i/>
              </w:rPr>
              <w:t>The Medieval Calendar Year</w:t>
            </w:r>
            <w:r w:rsidRPr="00A6250F">
              <w:t>. Pennsylvania State University Press, 1999.</w:t>
            </w:r>
          </w:p>
          <w:p w:rsidR="00C46A85" w:rsidRPr="00A6250F" w:rsidRDefault="00C46A85" w:rsidP="007B3277">
            <w:pPr>
              <w:numPr>
                <w:ilvl w:val="0"/>
                <w:numId w:val="8"/>
              </w:numPr>
            </w:pPr>
            <w:r w:rsidRPr="00A6250F">
              <w:t xml:space="preserve">Radó, Polycarpus: </w:t>
            </w:r>
            <w:r w:rsidRPr="00A6250F">
              <w:rPr>
                <w:i/>
              </w:rPr>
              <w:t xml:space="preserve">Enchiridion liturgicum I–II. </w:t>
            </w:r>
            <w:r w:rsidRPr="00A6250F">
              <w:t xml:space="preserve">Herder, Roma 1962. </w:t>
            </w:r>
          </w:p>
          <w:p w:rsidR="00C46A85" w:rsidRPr="00A6250F" w:rsidRDefault="00C46A85" w:rsidP="007B3277">
            <w:pPr>
              <w:numPr>
                <w:ilvl w:val="0"/>
                <w:numId w:val="8"/>
              </w:numPr>
            </w:pPr>
            <w:r w:rsidRPr="00A6250F">
              <w:t xml:space="preserve">Rüpke, Jörg: </w:t>
            </w:r>
            <w:r w:rsidRPr="00A6250F">
              <w:rPr>
                <w:i/>
              </w:rPr>
              <w:t xml:space="preserve">The Roman Calendar from Numa to Constantine: Time, History and the Fasti </w:t>
            </w:r>
            <w:r w:rsidRPr="00A6250F">
              <w:t>(trans. D. M. B. Richardson) (Wiley–Blackwell, Chichester 2011).</w:t>
            </w:r>
          </w:p>
          <w:p w:rsidR="00C46A85" w:rsidRPr="00A6250F" w:rsidRDefault="00C46A85" w:rsidP="007B3277">
            <w:pPr>
              <w:numPr>
                <w:ilvl w:val="0"/>
                <w:numId w:val="8"/>
              </w:numPr>
            </w:pPr>
            <w:r w:rsidRPr="00A6250F">
              <w:t xml:space="preserve">Rüpke, Jörg: </w:t>
            </w:r>
            <w:r w:rsidRPr="00A6250F">
              <w:rPr>
                <w:i/>
              </w:rPr>
              <w:t>Kalender und Öffentlichkeit. Die Geschichte der Repräsentation und religiösen Qualifikation von Zeit in Rom</w:t>
            </w:r>
            <w:r w:rsidRPr="00A6250F">
              <w:t xml:space="preserve">. De Gruyter, Berlin 1995. </w:t>
            </w:r>
          </w:p>
          <w:p w:rsidR="00C46A85" w:rsidRPr="00A6250F" w:rsidRDefault="00C46A85" w:rsidP="007B3277">
            <w:pPr>
              <w:numPr>
                <w:ilvl w:val="0"/>
                <w:numId w:val="8"/>
              </w:numPr>
            </w:pPr>
            <w:r w:rsidRPr="00A6250F">
              <w:t xml:space="preserve">Scullard, Howard Hayes: </w:t>
            </w:r>
            <w:r w:rsidRPr="00A6250F">
              <w:rPr>
                <w:i/>
              </w:rPr>
              <w:t>Festivals and Ceremonies of the Roman Republic</w:t>
            </w:r>
            <w:r w:rsidRPr="00A6250F">
              <w:t xml:space="preserve">. Cornell University Press, Ithaca–New York 1981. </w:t>
            </w:r>
          </w:p>
          <w:p w:rsidR="00C46A85" w:rsidRPr="00A6250F" w:rsidRDefault="00C46A85" w:rsidP="00E75B20">
            <w:pPr>
              <w:numPr>
                <w:ilvl w:val="0"/>
                <w:numId w:val="8"/>
              </w:numPr>
              <w:jc w:val="both"/>
              <w:rPr>
                <w:b/>
                <w:bCs/>
                <w:lang w:val="hu-HU"/>
              </w:rPr>
            </w:pPr>
            <w:r w:rsidRPr="00A6250F">
              <w:t xml:space="preserve">Talley, Thomas: </w:t>
            </w:r>
            <w:r w:rsidRPr="00A6250F">
              <w:rPr>
                <w:i/>
              </w:rPr>
              <w:t>The Origins of the Litugical Year</w:t>
            </w:r>
            <w:r w:rsidRPr="00A6250F">
              <w:t>. Pueblo, New York 1991.</w:t>
            </w:r>
          </w:p>
        </w:tc>
      </w:tr>
    </w:tbl>
    <w:p w:rsidR="00C46A85" w:rsidRPr="00A6250F" w:rsidRDefault="00C46A85" w:rsidP="00EE3773">
      <w:pPr>
        <w:jc w:val="both"/>
      </w:pPr>
    </w:p>
    <w:sectPr w:rsidR="00C46A85" w:rsidRPr="00A6250F" w:rsidSect="00B558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STKaiti">
    <w:altName w:val="SimSun"/>
    <w:panose1 w:val="00000000000000000000"/>
    <w:charset w:val="86"/>
    <w:family w:val="roman"/>
    <w:notTrueType/>
    <w:pitch w:val="default"/>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Times">
    <w:altName w:val="Times New Roman"/>
    <w:panose1 w:val="02020603050405020304"/>
    <w:charset w:val="EE"/>
    <w:family w:val="roman"/>
    <w:pitch w:val="variable"/>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abonLTStd-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154"/>
    <w:multiLevelType w:val="hybridMultilevel"/>
    <w:tmpl w:val="40D824F2"/>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186E5A60"/>
    <w:multiLevelType w:val="hybridMultilevel"/>
    <w:tmpl w:val="D0B2C1B2"/>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nsid w:val="26473E51"/>
    <w:multiLevelType w:val="hybridMultilevel"/>
    <w:tmpl w:val="B364B76A"/>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nsid w:val="285455B3"/>
    <w:multiLevelType w:val="hybridMultilevel"/>
    <w:tmpl w:val="E464695C"/>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nsid w:val="2BD95B90"/>
    <w:multiLevelType w:val="hybridMultilevel"/>
    <w:tmpl w:val="CFEC0604"/>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
    <w:nsid w:val="41047834"/>
    <w:multiLevelType w:val="hybridMultilevel"/>
    <w:tmpl w:val="823CC67E"/>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45F46FD3"/>
    <w:multiLevelType w:val="hybridMultilevel"/>
    <w:tmpl w:val="F4E0C35C"/>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nsid w:val="487D31E6"/>
    <w:multiLevelType w:val="hybridMultilevel"/>
    <w:tmpl w:val="05B4434A"/>
    <w:lvl w:ilvl="0" w:tplc="040E000F">
      <w:start w:val="1"/>
      <w:numFmt w:val="decimal"/>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num w:numId="1">
    <w:abstractNumId w:val="7"/>
  </w:num>
  <w:num w:numId="2">
    <w:abstractNumId w:val="0"/>
  </w:num>
  <w:num w:numId="3">
    <w:abstractNumId w:val="2"/>
  </w:num>
  <w:num w:numId="4">
    <w:abstractNumId w:val="5"/>
  </w:num>
  <w:num w:numId="5">
    <w:abstractNumId w:val="4"/>
  </w:num>
  <w:num w:numId="6">
    <w:abstractNumId w:val="6"/>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3773"/>
    <w:rsid w:val="00016D52"/>
    <w:rsid w:val="000375EF"/>
    <w:rsid w:val="000459F6"/>
    <w:rsid w:val="000C3AD2"/>
    <w:rsid w:val="001233D1"/>
    <w:rsid w:val="001354FF"/>
    <w:rsid w:val="001D5E60"/>
    <w:rsid w:val="002018E3"/>
    <w:rsid w:val="002569A3"/>
    <w:rsid w:val="002745D7"/>
    <w:rsid w:val="0029392A"/>
    <w:rsid w:val="002E6F86"/>
    <w:rsid w:val="002F4D15"/>
    <w:rsid w:val="002F52AD"/>
    <w:rsid w:val="003229D9"/>
    <w:rsid w:val="00350A2F"/>
    <w:rsid w:val="0036243E"/>
    <w:rsid w:val="00365ECD"/>
    <w:rsid w:val="003C16B8"/>
    <w:rsid w:val="003D79D7"/>
    <w:rsid w:val="00422A30"/>
    <w:rsid w:val="004F6972"/>
    <w:rsid w:val="0050597D"/>
    <w:rsid w:val="005C3D2A"/>
    <w:rsid w:val="00643274"/>
    <w:rsid w:val="00732C5E"/>
    <w:rsid w:val="007B3277"/>
    <w:rsid w:val="007D1C7F"/>
    <w:rsid w:val="0080327C"/>
    <w:rsid w:val="00866B8C"/>
    <w:rsid w:val="008C0024"/>
    <w:rsid w:val="009A7127"/>
    <w:rsid w:val="009C01DA"/>
    <w:rsid w:val="009C17F2"/>
    <w:rsid w:val="009F4C3C"/>
    <w:rsid w:val="00A02A2A"/>
    <w:rsid w:val="00A6250F"/>
    <w:rsid w:val="00AA5BE1"/>
    <w:rsid w:val="00AF70AD"/>
    <w:rsid w:val="00B153BA"/>
    <w:rsid w:val="00B558A0"/>
    <w:rsid w:val="00B7588F"/>
    <w:rsid w:val="00B8201A"/>
    <w:rsid w:val="00BC1CC6"/>
    <w:rsid w:val="00BF62C7"/>
    <w:rsid w:val="00C24F46"/>
    <w:rsid w:val="00C46A85"/>
    <w:rsid w:val="00C51935"/>
    <w:rsid w:val="00C5768C"/>
    <w:rsid w:val="00C60304"/>
    <w:rsid w:val="00C82657"/>
    <w:rsid w:val="00CF19A8"/>
    <w:rsid w:val="00D12424"/>
    <w:rsid w:val="00D2538D"/>
    <w:rsid w:val="00D2593B"/>
    <w:rsid w:val="00D652E7"/>
    <w:rsid w:val="00D94C4A"/>
    <w:rsid w:val="00E016E4"/>
    <w:rsid w:val="00E20B4F"/>
    <w:rsid w:val="00E45518"/>
    <w:rsid w:val="00E75B20"/>
    <w:rsid w:val="00EE3773"/>
    <w:rsid w:val="00EE50AF"/>
    <w:rsid w:val="00F12ACE"/>
    <w:rsid w:val="00F52CAE"/>
    <w:rsid w:val="00FB7834"/>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STKaiti" w:hAnsi="Franklin Gothic Book"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773"/>
    <w:rPr>
      <w:rFonts w:ascii="Times New Roman" w:hAnsi="Times New Roman"/>
      <w:sz w:val="24"/>
      <w:szCs w:val="24"/>
      <w:lang w:val="en-US"/>
    </w:rPr>
  </w:style>
  <w:style w:type="paragraph" w:styleId="Heading1">
    <w:name w:val="heading 1"/>
    <w:basedOn w:val="Normal"/>
    <w:next w:val="Normal"/>
    <w:link w:val="Heading1Char"/>
    <w:uiPriority w:val="99"/>
    <w:qFormat/>
    <w:rsid w:val="001354F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54FF"/>
    <w:rPr>
      <w:rFonts w:ascii="Arial" w:hAnsi="Arial" w:cs="Arial"/>
      <w:b/>
      <w:bCs/>
      <w:kern w:val="32"/>
      <w:sz w:val="32"/>
      <w:szCs w:val="32"/>
      <w:lang w:val="en-US" w:eastAsia="hu-HU"/>
    </w:rPr>
  </w:style>
  <w:style w:type="character" w:styleId="Strong">
    <w:name w:val="Strong"/>
    <w:basedOn w:val="DefaultParagraphFont"/>
    <w:uiPriority w:val="99"/>
    <w:qFormat/>
    <w:rsid w:val="00EE3773"/>
    <w:rPr>
      <w:rFonts w:cs="Times New Roman"/>
      <w:b/>
      <w:bCs/>
    </w:rPr>
  </w:style>
  <w:style w:type="paragraph" w:customStyle="1" w:styleId="targy">
    <w:name w:val="targy"/>
    <w:basedOn w:val="Normal"/>
    <w:next w:val="Normal"/>
    <w:uiPriority w:val="99"/>
    <w:rsid w:val="00EE3773"/>
    <w:pPr>
      <w:widowControl w:val="0"/>
      <w:suppressAutoHyphens/>
      <w:autoSpaceDE w:val="0"/>
      <w:spacing w:before="119"/>
    </w:pPr>
    <w:rPr>
      <w:b/>
      <w:bCs/>
      <w:lang w:val="hu-HU" w:eastAsia="hi-IN" w:bidi="hi-IN"/>
    </w:rPr>
  </w:style>
  <w:style w:type="paragraph" w:styleId="ListParagraph">
    <w:name w:val="List Paragraph"/>
    <w:basedOn w:val="Normal"/>
    <w:uiPriority w:val="99"/>
    <w:qFormat/>
    <w:rsid w:val="00866B8C"/>
    <w:pPr>
      <w:ind w:left="720"/>
      <w:contextualSpacing/>
    </w:pPr>
    <w:rPr>
      <w:lang w:val="hu-HU"/>
    </w:rPr>
  </w:style>
  <w:style w:type="paragraph" w:customStyle="1" w:styleId="Default">
    <w:name w:val="Default"/>
    <w:uiPriority w:val="99"/>
    <w:rsid w:val="00866B8C"/>
    <w:pPr>
      <w:autoSpaceDE w:val="0"/>
      <w:autoSpaceDN w:val="0"/>
      <w:adjustRightInd w:val="0"/>
    </w:pPr>
    <w:rPr>
      <w:rFonts w:ascii="Times" w:eastAsia="SimSun" w:hAnsi="Times" w:cs="Times"/>
      <w:color w:val="000000"/>
      <w:sz w:val="24"/>
      <w:szCs w:val="24"/>
      <w:lang w:eastAsia="zh-CN"/>
    </w:rPr>
  </w:style>
  <w:style w:type="character" w:styleId="CommentReference">
    <w:name w:val="annotation reference"/>
    <w:basedOn w:val="DefaultParagraphFont"/>
    <w:uiPriority w:val="99"/>
    <w:rsid w:val="007B3277"/>
    <w:rPr>
      <w:rFonts w:cs="Times New Roman"/>
      <w:sz w:val="18"/>
      <w:szCs w:val="18"/>
    </w:rPr>
  </w:style>
  <w:style w:type="paragraph" w:styleId="CommentText">
    <w:name w:val="annotation text"/>
    <w:basedOn w:val="Normal"/>
    <w:link w:val="CommentTextChar"/>
    <w:uiPriority w:val="99"/>
    <w:rsid w:val="007B3277"/>
  </w:style>
  <w:style w:type="character" w:customStyle="1" w:styleId="CommentTextChar">
    <w:name w:val="Comment Text Char"/>
    <w:basedOn w:val="DefaultParagraphFont"/>
    <w:link w:val="CommentText"/>
    <w:uiPriority w:val="99"/>
    <w:locked/>
    <w:rsid w:val="007B3277"/>
    <w:rPr>
      <w:rFonts w:cs="Times New Roman"/>
      <w:sz w:val="24"/>
      <w:szCs w:val="24"/>
      <w:lang w:val="en-US" w:eastAsia="hu-HU" w:bidi="ar-SA"/>
    </w:rPr>
  </w:style>
  <w:style w:type="paragraph" w:styleId="BalloonText">
    <w:name w:val="Balloon Text"/>
    <w:basedOn w:val="Normal"/>
    <w:link w:val="BalloonTextChar"/>
    <w:uiPriority w:val="99"/>
    <w:semiHidden/>
    <w:rsid w:val="007B32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17F2"/>
    <w:rPr>
      <w:rFonts w:ascii="Times New Roman" w:hAnsi="Times New Roman" w:cs="Times New Roman"/>
      <w:sz w:val="2"/>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13</Pages>
  <Words>4521</Words>
  <Characters>31201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FIL/ÚK – Újkori filozófia doktori oktatási program</dc:title>
  <dc:subject/>
  <dc:creator>Potzak</dc:creator>
  <cp:keywords/>
  <dc:description/>
  <cp:lastModifiedBy>derib_000</cp:lastModifiedBy>
  <cp:revision>9</cp:revision>
  <dcterms:created xsi:type="dcterms:W3CDTF">2016-05-11T00:52:00Z</dcterms:created>
  <dcterms:modified xsi:type="dcterms:W3CDTF">2016-10-11T11:59:00Z</dcterms:modified>
</cp:coreProperties>
</file>